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023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AB7E522" w14:textId="77777777" w:rsidTr="00B84223">
        <w:tc>
          <w:tcPr>
            <w:tcW w:w="9747" w:type="dxa"/>
          </w:tcPr>
          <w:p w14:paraId="34447CBB" w14:textId="77777777" w:rsidR="00992445" w:rsidRPr="0010685F" w:rsidRDefault="00992445" w:rsidP="00B84223">
            <w:pPr>
              <w:rPr>
                <w:sz w:val="22"/>
                <w:szCs w:val="22"/>
              </w:rPr>
            </w:pPr>
          </w:p>
          <w:p w14:paraId="4271EFF8" w14:textId="77777777" w:rsidR="00992445" w:rsidRPr="0010685F" w:rsidRDefault="00992445" w:rsidP="00B84223">
            <w:pPr>
              <w:jc w:val="center"/>
              <w:rPr>
                <w:b/>
                <w:sz w:val="22"/>
                <w:szCs w:val="22"/>
              </w:rPr>
            </w:pPr>
            <w:r w:rsidRPr="0010685F">
              <w:rPr>
                <w:b/>
                <w:sz w:val="22"/>
                <w:szCs w:val="22"/>
              </w:rPr>
              <w:t>ADATBEJELENTÉS</w:t>
            </w:r>
          </w:p>
          <w:p w14:paraId="280FD55C" w14:textId="77777777" w:rsidR="00992445" w:rsidRPr="0010685F" w:rsidRDefault="00992445" w:rsidP="00B84223">
            <w:pPr>
              <w:jc w:val="center"/>
              <w:rPr>
                <w:b/>
                <w:sz w:val="22"/>
                <w:szCs w:val="22"/>
              </w:rPr>
            </w:pPr>
          </w:p>
          <w:p w14:paraId="02790337" w14:textId="77777777" w:rsidR="00992445" w:rsidRPr="0010685F" w:rsidRDefault="00992445" w:rsidP="00B84223">
            <w:pPr>
              <w:jc w:val="center"/>
              <w:rPr>
                <w:b/>
                <w:sz w:val="22"/>
                <w:szCs w:val="22"/>
              </w:rPr>
            </w:pPr>
            <w:r w:rsidRPr="0010685F">
              <w:rPr>
                <w:b/>
                <w:sz w:val="22"/>
                <w:szCs w:val="22"/>
              </w:rPr>
              <w:t>a magánszemély kommunális adójáról</w:t>
            </w:r>
          </w:p>
          <w:p w14:paraId="777D11D2" w14:textId="77777777" w:rsidR="00992445" w:rsidRPr="0010685F" w:rsidRDefault="00992445" w:rsidP="00B84223">
            <w:pPr>
              <w:jc w:val="center"/>
              <w:rPr>
                <w:sz w:val="22"/>
                <w:szCs w:val="22"/>
              </w:rPr>
            </w:pPr>
          </w:p>
          <w:p w14:paraId="14219204" w14:textId="77777777" w:rsidR="00992445" w:rsidRPr="0010685F" w:rsidRDefault="00992445" w:rsidP="00B84223">
            <w:pPr>
              <w:jc w:val="center"/>
              <w:rPr>
                <w:sz w:val="22"/>
                <w:szCs w:val="22"/>
              </w:rPr>
            </w:pPr>
            <w:r w:rsidRPr="0010685F">
              <w:rPr>
                <w:sz w:val="22"/>
                <w:szCs w:val="22"/>
              </w:rPr>
              <w:t>Benyújtandó az adótárgy fekvése szerinti</w:t>
            </w:r>
          </w:p>
          <w:p w14:paraId="66EB5D12"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6E5E6F87" w14:textId="77777777" w:rsidR="00992445" w:rsidRPr="0010685F" w:rsidRDefault="00992445" w:rsidP="00B84223">
            <w:pPr>
              <w:jc w:val="center"/>
              <w:rPr>
                <w:i/>
                <w:sz w:val="22"/>
                <w:szCs w:val="22"/>
              </w:rPr>
            </w:pPr>
          </w:p>
          <w:p w14:paraId="37E96EC7"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114B8EF4" w14:textId="77777777" w:rsidR="00992445" w:rsidRPr="0010685F" w:rsidRDefault="00992445" w:rsidP="00B84223">
            <w:pPr>
              <w:rPr>
                <w:sz w:val="22"/>
                <w:szCs w:val="22"/>
              </w:rPr>
            </w:pPr>
          </w:p>
        </w:tc>
      </w:tr>
    </w:tbl>
    <w:p w14:paraId="1BDE0F90"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0EDB5607" w14:textId="77777777" w:rsidTr="00B84223">
        <w:tc>
          <w:tcPr>
            <w:tcW w:w="9747" w:type="dxa"/>
            <w:gridSpan w:val="2"/>
          </w:tcPr>
          <w:p w14:paraId="3107C25B" w14:textId="77777777" w:rsidR="00992445" w:rsidRPr="0010685F" w:rsidRDefault="00992445" w:rsidP="00B84223">
            <w:pPr>
              <w:ind w:left="1080"/>
              <w:contextualSpacing/>
              <w:rPr>
                <w:sz w:val="22"/>
                <w:szCs w:val="22"/>
              </w:rPr>
            </w:pPr>
          </w:p>
          <w:p w14:paraId="11B7FBFF"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5A4B1E6E" w14:textId="77777777" w:rsidR="00992445" w:rsidRPr="0010685F" w:rsidRDefault="00992445" w:rsidP="00B84223">
            <w:pPr>
              <w:ind w:left="1080"/>
              <w:contextualSpacing/>
              <w:rPr>
                <w:sz w:val="22"/>
                <w:szCs w:val="22"/>
              </w:rPr>
            </w:pPr>
          </w:p>
        </w:tc>
      </w:tr>
      <w:tr w:rsidR="00992445" w:rsidRPr="0010685F" w14:paraId="4C62570B" w14:textId="77777777" w:rsidTr="00B84223">
        <w:tc>
          <w:tcPr>
            <w:tcW w:w="4606" w:type="dxa"/>
            <w:tcBorders>
              <w:right w:val="nil"/>
            </w:tcBorders>
          </w:tcPr>
          <w:p w14:paraId="0F800BE2" w14:textId="77777777" w:rsidR="00992445" w:rsidRPr="0010685F" w:rsidRDefault="00992445" w:rsidP="00B84223">
            <w:pPr>
              <w:ind w:left="720"/>
              <w:contextualSpacing/>
              <w:rPr>
                <w:sz w:val="22"/>
                <w:szCs w:val="22"/>
              </w:rPr>
            </w:pPr>
          </w:p>
          <w:p w14:paraId="3E549F90"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4F7A3592" w14:textId="77777777" w:rsidR="00992445" w:rsidRPr="0010685F" w:rsidRDefault="00992445" w:rsidP="00B84223">
            <w:pPr>
              <w:ind w:left="720"/>
              <w:contextualSpacing/>
              <w:rPr>
                <w:sz w:val="22"/>
                <w:szCs w:val="22"/>
              </w:rPr>
            </w:pPr>
          </w:p>
          <w:p w14:paraId="1E660F36"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144EC350" w14:textId="77777777" w:rsidTr="00B84223">
        <w:tc>
          <w:tcPr>
            <w:tcW w:w="9747" w:type="dxa"/>
            <w:gridSpan w:val="2"/>
          </w:tcPr>
          <w:p w14:paraId="73B22552"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2CA785BE"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03CE4B83" w14:textId="77777777" w:rsidTr="00B84223">
        <w:trPr>
          <w:trHeight w:val="600"/>
        </w:trPr>
        <w:tc>
          <w:tcPr>
            <w:tcW w:w="9747" w:type="dxa"/>
          </w:tcPr>
          <w:p w14:paraId="31C28DE9" w14:textId="77777777" w:rsidR="00CD5E6C" w:rsidRPr="009E05AF" w:rsidRDefault="00CD5E6C" w:rsidP="00506E39">
            <w:pPr>
              <w:ind w:left="1080"/>
              <w:contextualSpacing/>
              <w:rPr>
                <w:lang w:val="en-US"/>
              </w:rPr>
            </w:pPr>
            <w:r>
              <w:t xml:space="preserve"> </w:t>
            </w:r>
          </w:p>
          <w:p w14:paraId="0FCAECDA" w14:textId="77777777" w:rsidR="00CD5E6C" w:rsidRPr="00F807A6" w:rsidRDefault="00CD5E6C" w:rsidP="00CD5E6C">
            <w:pPr>
              <w:pStyle w:val="Listaszerbekezds"/>
              <w:numPr>
                <w:ilvl w:val="0"/>
                <w:numId w:val="9"/>
              </w:numPr>
              <w:rPr>
                <w:b/>
                <w:lang w:val="en-US"/>
              </w:rPr>
            </w:pPr>
            <w:r w:rsidRPr="00F807A6">
              <w:rPr>
                <w:b/>
              </w:rPr>
              <w:t>Az adatbejelentő adatai</w:t>
            </w:r>
          </w:p>
          <w:p w14:paraId="76ED2C6D" w14:textId="77777777" w:rsidR="00CD5E6C" w:rsidRPr="009E05AF" w:rsidRDefault="00CD5E6C" w:rsidP="00506E39">
            <w:pPr>
              <w:rPr>
                <w:lang w:val="en-US"/>
              </w:rPr>
            </w:pPr>
          </w:p>
        </w:tc>
      </w:tr>
      <w:tr w:rsidR="00CD5E6C" w:rsidRPr="0010685F" w14:paraId="272E8A72" w14:textId="77777777" w:rsidTr="00181A76">
        <w:trPr>
          <w:trHeight w:val="1266"/>
        </w:trPr>
        <w:tc>
          <w:tcPr>
            <w:tcW w:w="9747" w:type="dxa"/>
            <w:tcBorders>
              <w:bottom w:val="single" w:sz="4" w:space="0" w:color="auto"/>
            </w:tcBorders>
          </w:tcPr>
          <w:p w14:paraId="1C338216" w14:textId="77777777" w:rsidR="00CD5E6C" w:rsidRDefault="00CD5E6C" w:rsidP="00506E39">
            <w:pPr>
              <w:spacing w:before="40" w:after="40"/>
              <w:ind w:left="567"/>
              <w:contextualSpacing/>
            </w:pPr>
          </w:p>
          <w:p w14:paraId="7F1240E2" w14:textId="77777777" w:rsidR="00CD5E6C" w:rsidRPr="009319DB" w:rsidRDefault="00CD5E6C" w:rsidP="00CD5E6C">
            <w:pPr>
              <w:pStyle w:val="Listaszerbekezds"/>
              <w:numPr>
                <w:ilvl w:val="0"/>
                <w:numId w:val="10"/>
              </w:numPr>
              <w:spacing w:before="40" w:after="40"/>
              <w:ind w:left="709"/>
            </w:pPr>
            <w:r w:rsidRPr="009319DB">
              <w:t>Viselt név</w:t>
            </w:r>
          </w:p>
          <w:p w14:paraId="7A501576"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6D543757" w14:textId="77777777" w:rsidR="00CD5E6C" w:rsidRPr="009319DB" w:rsidRDefault="00CD5E6C" w:rsidP="00506E39">
            <w:pPr>
              <w:spacing w:before="40" w:after="40"/>
              <w:ind w:left="852"/>
            </w:pPr>
            <w:r w:rsidRPr="009319DB">
              <w:t>1.3. Utónév: ___________________________, 1.4. Utónév: ______________________.</w:t>
            </w:r>
          </w:p>
          <w:p w14:paraId="52DBFEF6" w14:textId="77777777" w:rsidR="00CD5E6C" w:rsidRPr="009319DB" w:rsidRDefault="00CD5E6C" w:rsidP="00CD5E6C">
            <w:pPr>
              <w:pStyle w:val="Listaszerbekezds"/>
              <w:numPr>
                <w:ilvl w:val="0"/>
                <w:numId w:val="11"/>
              </w:numPr>
              <w:spacing w:before="40" w:after="40"/>
            </w:pPr>
            <w:r w:rsidRPr="009319DB">
              <w:t>Születési név</w:t>
            </w:r>
          </w:p>
          <w:p w14:paraId="5CD11508"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5C20C2CC" w14:textId="77777777" w:rsidR="00CD5E6C" w:rsidRPr="009319DB" w:rsidRDefault="00CD5E6C" w:rsidP="00506E39">
            <w:pPr>
              <w:spacing w:before="40" w:after="40"/>
              <w:ind w:left="852"/>
            </w:pPr>
            <w:r w:rsidRPr="009319DB">
              <w:t>2.3. Utónév: ___________________________, 2.4. Utónév: ______________________.</w:t>
            </w:r>
          </w:p>
          <w:p w14:paraId="6FDE05B7" w14:textId="77777777" w:rsidR="00CD5E6C" w:rsidRPr="009319DB" w:rsidRDefault="00CD5E6C" w:rsidP="00CD5E6C">
            <w:pPr>
              <w:pStyle w:val="Listaszerbekezds"/>
              <w:numPr>
                <w:ilvl w:val="0"/>
                <w:numId w:val="12"/>
              </w:numPr>
              <w:spacing w:before="40" w:after="40"/>
            </w:pPr>
            <w:r w:rsidRPr="009319DB">
              <w:t>Anyja születési neve</w:t>
            </w:r>
          </w:p>
          <w:p w14:paraId="338E361E"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71BEE175" w14:textId="77777777" w:rsidR="00CD5E6C" w:rsidRPr="009319DB" w:rsidRDefault="00CD5E6C" w:rsidP="00506E39">
            <w:pPr>
              <w:spacing w:before="40" w:after="40"/>
              <w:ind w:left="852"/>
            </w:pPr>
            <w:r w:rsidRPr="009319DB">
              <w:t>3.3. Utónév: ___________________________, 3.4. Utónév: ______________________.</w:t>
            </w:r>
          </w:p>
          <w:p w14:paraId="42DC2710" w14:textId="77777777" w:rsidR="00CD5E6C" w:rsidRPr="009319DB" w:rsidRDefault="00CD5E6C" w:rsidP="00506E39">
            <w:pPr>
              <w:spacing w:before="40" w:after="40"/>
              <w:ind w:left="567"/>
              <w:contextualSpacing/>
            </w:pPr>
          </w:p>
          <w:p w14:paraId="12D35779"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50CF7B72" w14:textId="77777777" w:rsidR="00CD5E6C" w:rsidRPr="009319DB" w:rsidRDefault="00CD5E6C" w:rsidP="00506E39">
            <w:pPr>
              <w:spacing w:before="40" w:after="40"/>
              <w:ind w:left="567"/>
              <w:contextualSpacing/>
              <w:rPr>
                <w:lang w:val="en-US"/>
              </w:rPr>
            </w:pPr>
          </w:p>
          <w:p w14:paraId="42BFB0FC"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4EF594F4"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3E603393"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0BA76D91"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3122FB04"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260489CB" w14:textId="77777777" w:rsidR="00CD5E6C" w:rsidRPr="009319DB" w:rsidRDefault="00CD5E6C" w:rsidP="00506E39">
            <w:pPr>
              <w:spacing w:before="40" w:after="40"/>
              <w:ind w:left="567"/>
              <w:contextualSpacing/>
            </w:pPr>
          </w:p>
          <w:p w14:paraId="1726F336"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4C4D1683"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44658CC3" w14:textId="77777777" w:rsidR="00CD5E6C" w:rsidRDefault="00CD5E6C" w:rsidP="00506E39">
            <w:pPr>
              <w:spacing w:before="40" w:after="40"/>
              <w:ind w:left="567"/>
              <w:contextualSpacing/>
            </w:pPr>
          </w:p>
          <w:p w14:paraId="06D5E145" w14:textId="77777777" w:rsidR="00D2454A" w:rsidRPr="009319DB" w:rsidRDefault="00D2454A" w:rsidP="00506E39">
            <w:pPr>
              <w:spacing w:before="40" w:after="40"/>
              <w:ind w:left="567"/>
              <w:contextualSpacing/>
            </w:pPr>
          </w:p>
          <w:p w14:paraId="562FD208"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03995F11" w14:textId="77777777" w:rsidR="00181A76" w:rsidRDefault="00181A76" w:rsidP="00181A76">
            <w:pPr>
              <w:spacing w:before="40" w:after="40"/>
              <w:ind w:left="360"/>
            </w:pPr>
          </w:p>
          <w:p w14:paraId="2DE0C0B4"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224D95B4" w14:textId="77777777" w:rsidR="00EC31F3" w:rsidRDefault="00EC31F3" w:rsidP="00EC31F3">
            <w:pPr>
              <w:spacing w:before="40" w:after="40"/>
              <w:ind w:left="360"/>
              <w:rPr>
                <w:color w:val="000000" w:themeColor="text1"/>
              </w:rPr>
            </w:pPr>
          </w:p>
          <w:p w14:paraId="1574EBD7" w14:textId="77777777" w:rsidR="00EC31F3" w:rsidRPr="00181A76" w:rsidRDefault="00EC31F3" w:rsidP="00EC31F3">
            <w:pPr>
              <w:spacing w:before="40" w:after="40"/>
              <w:ind w:left="360"/>
            </w:pPr>
            <w:r w:rsidRPr="00EC31F3">
              <w:rPr>
                <w:color w:val="000000" w:themeColor="text1"/>
              </w:rPr>
              <w:t>________________________________________________</w:t>
            </w:r>
          </w:p>
          <w:p w14:paraId="41885B97" w14:textId="77777777" w:rsidR="00181A76" w:rsidRPr="009E05AF" w:rsidRDefault="00181A76" w:rsidP="00EC31F3">
            <w:pPr>
              <w:spacing w:before="40" w:after="40"/>
            </w:pPr>
          </w:p>
        </w:tc>
      </w:tr>
    </w:tbl>
    <w:p w14:paraId="3F82020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D9083AC" w14:textId="77777777" w:rsidTr="00B84223">
        <w:trPr>
          <w:trHeight w:val="735"/>
        </w:trPr>
        <w:tc>
          <w:tcPr>
            <w:tcW w:w="9747" w:type="dxa"/>
          </w:tcPr>
          <w:p w14:paraId="79953689" w14:textId="77777777" w:rsidR="00992445" w:rsidRPr="0010685F" w:rsidRDefault="00992445" w:rsidP="00B84223">
            <w:pPr>
              <w:ind w:left="1080"/>
              <w:contextualSpacing/>
              <w:rPr>
                <w:sz w:val="22"/>
                <w:szCs w:val="22"/>
              </w:rPr>
            </w:pPr>
          </w:p>
          <w:p w14:paraId="6C5A1E1A"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5841C0DB" w14:textId="77777777" w:rsidR="00992445" w:rsidRPr="0010685F" w:rsidRDefault="00992445" w:rsidP="00B84223">
            <w:pPr>
              <w:ind w:left="1080"/>
              <w:contextualSpacing/>
              <w:rPr>
                <w:sz w:val="22"/>
                <w:szCs w:val="22"/>
              </w:rPr>
            </w:pPr>
          </w:p>
        </w:tc>
      </w:tr>
      <w:tr w:rsidR="00992445" w:rsidRPr="0010685F" w14:paraId="0190D7AD" w14:textId="77777777" w:rsidTr="00B84223">
        <w:trPr>
          <w:trHeight w:val="1365"/>
        </w:trPr>
        <w:tc>
          <w:tcPr>
            <w:tcW w:w="9747" w:type="dxa"/>
            <w:vAlign w:val="center"/>
          </w:tcPr>
          <w:p w14:paraId="5C184FD3"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2BBB32B0"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47944608"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1E4F6E4F"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68479886"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1DB345FE" w14:textId="77777777" w:rsidR="00992445" w:rsidRPr="0010685F" w:rsidRDefault="00992445" w:rsidP="00B84223">
            <w:pPr>
              <w:ind w:left="765"/>
              <w:contextualSpacing/>
              <w:rPr>
                <w:sz w:val="22"/>
                <w:szCs w:val="22"/>
              </w:rPr>
            </w:pPr>
          </w:p>
        </w:tc>
      </w:tr>
    </w:tbl>
    <w:p w14:paraId="2CAEB66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2DFC0A42" w14:textId="77777777" w:rsidTr="00B84223">
        <w:trPr>
          <w:trHeight w:val="750"/>
        </w:trPr>
        <w:tc>
          <w:tcPr>
            <w:tcW w:w="9747" w:type="dxa"/>
            <w:gridSpan w:val="6"/>
          </w:tcPr>
          <w:p w14:paraId="4597795C" w14:textId="77777777" w:rsidR="00992445" w:rsidRPr="0010685F" w:rsidRDefault="00992445" w:rsidP="00B84223">
            <w:pPr>
              <w:ind w:left="1080"/>
              <w:contextualSpacing/>
              <w:rPr>
                <w:b/>
                <w:sz w:val="22"/>
                <w:szCs w:val="22"/>
              </w:rPr>
            </w:pPr>
          </w:p>
          <w:p w14:paraId="5F17A6C2"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29654B07" w14:textId="77777777" w:rsidR="00992445" w:rsidRPr="0010685F" w:rsidRDefault="00992445" w:rsidP="00B84223">
            <w:pPr>
              <w:rPr>
                <w:sz w:val="22"/>
                <w:szCs w:val="22"/>
              </w:rPr>
            </w:pPr>
          </w:p>
        </w:tc>
      </w:tr>
      <w:tr w:rsidR="00992445" w:rsidRPr="0010685F" w14:paraId="76F38465" w14:textId="77777777" w:rsidTr="00B84223">
        <w:trPr>
          <w:trHeight w:val="510"/>
        </w:trPr>
        <w:tc>
          <w:tcPr>
            <w:tcW w:w="9747" w:type="dxa"/>
            <w:gridSpan w:val="6"/>
          </w:tcPr>
          <w:p w14:paraId="39226117"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0545AC6B" w14:textId="77777777" w:rsidTr="00B84223">
        <w:trPr>
          <w:trHeight w:val="386"/>
        </w:trPr>
        <w:tc>
          <w:tcPr>
            <w:tcW w:w="4873" w:type="dxa"/>
            <w:gridSpan w:val="4"/>
          </w:tcPr>
          <w:p w14:paraId="772B1D1C"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4C08B647"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22DD0094" w14:textId="77777777" w:rsidTr="00B84223">
        <w:trPr>
          <w:trHeight w:val="502"/>
        </w:trPr>
        <w:tc>
          <w:tcPr>
            <w:tcW w:w="9747" w:type="dxa"/>
            <w:gridSpan w:val="6"/>
          </w:tcPr>
          <w:p w14:paraId="5CF44A8E"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20AE8D07" w14:textId="77777777" w:rsidTr="00B84223">
        <w:trPr>
          <w:trHeight w:val="230"/>
        </w:trPr>
        <w:tc>
          <w:tcPr>
            <w:tcW w:w="4815" w:type="dxa"/>
            <w:gridSpan w:val="3"/>
            <w:tcBorders>
              <w:bottom w:val="single" w:sz="4" w:space="0" w:color="auto"/>
            </w:tcBorders>
          </w:tcPr>
          <w:p w14:paraId="136C0330"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31C2FE9D"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1C08C7A9" w14:textId="77777777" w:rsidTr="00B84223">
        <w:trPr>
          <w:trHeight w:val="670"/>
        </w:trPr>
        <w:tc>
          <w:tcPr>
            <w:tcW w:w="3249" w:type="dxa"/>
            <w:tcBorders>
              <w:bottom w:val="single" w:sz="4" w:space="0" w:color="auto"/>
            </w:tcBorders>
          </w:tcPr>
          <w:p w14:paraId="6364FDAA"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34643E79"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04BD6806"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714C6D44"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15A5D32F" w14:textId="77777777" w:rsidTr="00B84223">
        <w:trPr>
          <w:trHeight w:val="896"/>
        </w:trPr>
        <w:tc>
          <w:tcPr>
            <w:tcW w:w="9747" w:type="dxa"/>
            <w:gridSpan w:val="6"/>
            <w:tcBorders>
              <w:bottom w:val="single" w:sz="4" w:space="0" w:color="auto"/>
            </w:tcBorders>
            <w:vAlign w:val="center"/>
          </w:tcPr>
          <w:p w14:paraId="17E05EE9"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3A30903D" w14:textId="77777777" w:rsidTr="00B84223">
        <w:trPr>
          <w:trHeight w:val="498"/>
        </w:trPr>
        <w:tc>
          <w:tcPr>
            <w:tcW w:w="9747" w:type="dxa"/>
            <w:gridSpan w:val="6"/>
            <w:tcBorders>
              <w:bottom w:val="single" w:sz="4" w:space="0" w:color="auto"/>
            </w:tcBorders>
            <w:vAlign w:val="center"/>
          </w:tcPr>
          <w:p w14:paraId="15A370F1"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2E3AFE2D" w14:textId="77777777" w:rsidTr="00B84223">
        <w:trPr>
          <w:trHeight w:val="325"/>
        </w:trPr>
        <w:tc>
          <w:tcPr>
            <w:tcW w:w="9747" w:type="dxa"/>
            <w:gridSpan w:val="6"/>
            <w:tcBorders>
              <w:bottom w:val="single" w:sz="4" w:space="0" w:color="auto"/>
            </w:tcBorders>
            <w:vAlign w:val="center"/>
          </w:tcPr>
          <w:p w14:paraId="741A40F5"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3DDD9A7E" w14:textId="77777777" w:rsidTr="00B84223">
        <w:trPr>
          <w:trHeight w:val="705"/>
        </w:trPr>
        <w:tc>
          <w:tcPr>
            <w:tcW w:w="4873" w:type="dxa"/>
            <w:gridSpan w:val="4"/>
            <w:tcBorders>
              <w:bottom w:val="single" w:sz="4" w:space="0" w:color="auto"/>
            </w:tcBorders>
            <w:vAlign w:val="center"/>
          </w:tcPr>
          <w:p w14:paraId="2835D1E6"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33C23E52"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3FAA0B5F" w14:textId="77777777" w:rsidTr="00B84223">
        <w:trPr>
          <w:trHeight w:val="840"/>
        </w:trPr>
        <w:tc>
          <w:tcPr>
            <w:tcW w:w="9747" w:type="dxa"/>
            <w:gridSpan w:val="6"/>
            <w:tcBorders>
              <w:bottom w:val="single" w:sz="4" w:space="0" w:color="auto"/>
            </w:tcBorders>
            <w:vAlign w:val="center"/>
          </w:tcPr>
          <w:p w14:paraId="797CB148"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33448179" w14:textId="77777777" w:rsidTr="00B84223">
        <w:trPr>
          <w:trHeight w:val="292"/>
        </w:trPr>
        <w:tc>
          <w:tcPr>
            <w:tcW w:w="9747" w:type="dxa"/>
            <w:gridSpan w:val="6"/>
            <w:vAlign w:val="center"/>
          </w:tcPr>
          <w:p w14:paraId="79830ADC"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16C6FF4D" w14:textId="77777777" w:rsidTr="00B84223">
        <w:trPr>
          <w:trHeight w:val="555"/>
        </w:trPr>
        <w:tc>
          <w:tcPr>
            <w:tcW w:w="4800" w:type="dxa"/>
            <w:gridSpan w:val="2"/>
            <w:tcBorders>
              <w:bottom w:val="single" w:sz="4" w:space="0" w:color="auto"/>
            </w:tcBorders>
            <w:vAlign w:val="center"/>
          </w:tcPr>
          <w:p w14:paraId="6627D9FE" w14:textId="77777777"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21E2D9B7"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18A3D727" w14:textId="77777777" w:rsidTr="00B84223">
        <w:trPr>
          <w:trHeight w:val="166"/>
        </w:trPr>
        <w:tc>
          <w:tcPr>
            <w:tcW w:w="9747" w:type="dxa"/>
            <w:gridSpan w:val="6"/>
            <w:tcBorders>
              <w:bottom w:val="single" w:sz="4" w:space="0" w:color="auto"/>
            </w:tcBorders>
            <w:vAlign w:val="center"/>
          </w:tcPr>
          <w:p w14:paraId="6B3CDAD4"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6927D682" w14:textId="77777777" w:rsidTr="00B84223">
        <w:trPr>
          <w:trHeight w:val="741"/>
        </w:trPr>
        <w:tc>
          <w:tcPr>
            <w:tcW w:w="9747" w:type="dxa"/>
            <w:gridSpan w:val="6"/>
          </w:tcPr>
          <w:p w14:paraId="6081A871"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385D22C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98D6212" w14:textId="77777777" w:rsidTr="00B84223">
        <w:tc>
          <w:tcPr>
            <w:tcW w:w="9747" w:type="dxa"/>
          </w:tcPr>
          <w:p w14:paraId="680CE9B0" w14:textId="77777777" w:rsidR="00992445" w:rsidRPr="0010685F" w:rsidRDefault="00992445" w:rsidP="00B84223">
            <w:pPr>
              <w:ind w:left="1080"/>
              <w:contextualSpacing/>
              <w:rPr>
                <w:b/>
                <w:sz w:val="22"/>
                <w:szCs w:val="22"/>
              </w:rPr>
            </w:pPr>
          </w:p>
          <w:p w14:paraId="526DEF43"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5E80AD83" w14:textId="77777777" w:rsidR="00992445" w:rsidRPr="0010685F" w:rsidRDefault="00992445" w:rsidP="00B84223">
            <w:pPr>
              <w:rPr>
                <w:sz w:val="22"/>
                <w:szCs w:val="22"/>
              </w:rPr>
            </w:pPr>
          </w:p>
        </w:tc>
      </w:tr>
      <w:tr w:rsidR="00992445" w:rsidRPr="0010685F" w14:paraId="75204319" w14:textId="77777777" w:rsidTr="00B84223">
        <w:trPr>
          <w:trHeight w:val="1369"/>
        </w:trPr>
        <w:tc>
          <w:tcPr>
            <w:tcW w:w="9747" w:type="dxa"/>
            <w:tcBorders>
              <w:bottom w:val="single" w:sz="4" w:space="0" w:color="auto"/>
            </w:tcBorders>
            <w:vAlign w:val="center"/>
          </w:tcPr>
          <w:p w14:paraId="0FF7FA19"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37425558"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06D0D6A8"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14C79BAA"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48AB77D0" w14:textId="77777777" w:rsidR="00992445" w:rsidRPr="0010685F" w:rsidRDefault="00992445" w:rsidP="00B84223">
            <w:pPr>
              <w:jc w:val="center"/>
              <w:rPr>
                <w:sz w:val="22"/>
                <w:szCs w:val="22"/>
              </w:rPr>
            </w:pPr>
          </w:p>
        </w:tc>
      </w:tr>
      <w:tr w:rsidR="00992445" w:rsidRPr="0010685F" w14:paraId="2D730CF6" w14:textId="77777777" w:rsidTr="00B84223">
        <w:trPr>
          <w:trHeight w:val="703"/>
        </w:trPr>
        <w:tc>
          <w:tcPr>
            <w:tcW w:w="9747" w:type="dxa"/>
            <w:tcBorders>
              <w:bottom w:val="single" w:sz="4" w:space="0" w:color="auto"/>
            </w:tcBorders>
          </w:tcPr>
          <w:p w14:paraId="71BAFC6E"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31C4FCB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4199CD24" w14:textId="77777777" w:rsidTr="00B84223">
        <w:trPr>
          <w:trHeight w:val="615"/>
        </w:trPr>
        <w:tc>
          <w:tcPr>
            <w:tcW w:w="9747" w:type="dxa"/>
            <w:gridSpan w:val="5"/>
            <w:tcBorders>
              <w:bottom w:val="single" w:sz="4" w:space="0" w:color="auto"/>
            </w:tcBorders>
          </w:tcPr>
          <w:p w14:paraId="6D2050B9" w14:textId="77777777" w:rsidR="00992445" w:rsidRPr="0010685F" w:rsidRDefault="00992445" w:rsidP="00B84223">
            <w:pPr>
              <w:ind w:left="1080"/>
              <w:contextualSpacing/>
              <w:rPr>
                <w:b/>
                <w:sz w:val="22"/>
                <w:szCs w:val="22"/>
              </w:rPr>
            </w:pPr>
          </w:p>
          <w:p w14:paraId="0BC5AB4B"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394906E2" w14:textId="77777777" w:rsidR="00992445" w:rsidRPr="0010685F" w:rsidRDefault="00992445" w:rsidP="00B84223">
            <w:pPr>
              <w:ind w:left="1080"/>
              <w:contextualSpacing/>
              <w:rPr>
                <w:b/>
                <w:sz w:val="22"/>
                <w:szCs w:val="22"/>
              </w:rPr>
            </w:pPr>
          </w:p>
        </w:tc>
      </w:tr>
      <w:tr w:rsidR="00992445" w:rsidRPr="0010685F" w14:paraId="25311A4A" w14:textId="77777777" w:rsidTr="00B84223">
        <w:trPr>
          <w:trHeight w:val="390"/>
        </w:trPr>
        <w:tc>
          <w:tcPr>
            <w:tcW w:w="9747" w:type="dxa"/>
            <w:gridSpan w:val="5"/>
            <w:tcBorders>
              <w:bottom w:val="single" w:sz="4" w:space="0" w:color="auto"/>
            </w:tcBorders>
          </w:tcPr>
          <w:p w14:paraId="445FAB08"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7C484F15" w14:textId="77777777" w:rsidTr="00B84223">
        <w:trPr>
          <w:trHeight w:val="480"/>
        </w:trPr>
        <w:tc>
          <w:tcPr>
            <w:tcW w:w="4873" w:type="dxa"/>
            <w:gridSpan w:val="3"/>
            <w:vAlign w:val="center"/>
          </w:tcPr>
          <w:p w14:paraId="67CA4E30"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57268850"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3DC0D3C7" w14:textId="77777777" w:rsidTr="00B84223">
        <w:trPr>
          <w:trHeight w:val="365"/>
        </w:trPr>
        <w:tc>
          <w:tcPr>
            <w:tcW w:w="9747" w:type="dxa"/>
            <w:gridSpan w:val="5"/>
            <w:vAlign w:val="center"/>
          </w:tcPr>
          <w:p w14:paraId="7D0ED9A7"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6D9952F2" w14:textId="77777777" w:rsidTr="00B84223">
        <w:trPr>
          <w:trHeight w:val="540"/>
        </w:trPr>
        <w:tc>
          <w:tcPr>
            <w:tcW w:w="4873" w:type="dxa"/>
            <w:gridSpan w:val="3"/>
            <w:vAlign w:val="center"/>
          </w:tcPr>
          <w:p w14:paraId="298959BA"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154405A5"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6593D428" w14:textId="77777777" w:rsidTr="00B84223">
        <w:trPr>
          <w:trHeight w:val="488"/>
        </w:trPr>
        <w:tc>
          <w:tcPr>
            <w:tcW w:w="3249" w:type="dxa"/>
            <w:tcBorders>
              <w:bottom w:val="single" w:sz="4" w:space="0" w:color="auto"/>
            </w:tcBorders>
            <w:vAlign w:val="center"/>
          </w:tcPr>
          <w:p w14:paraId="2E0FFD1C"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366DE3EE"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30CDE340"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504DBB04" w14:textId="77777777" w:rsidTr="00B84223">
        <w:trPr>
          <w:trHeight w:val="742"/>
        </w:trPr>
        <w:tc>
          <w:tcPr>
            <w:tcW w:w="9747" w:type="dxa"/>
            <w:gridSpan w:val="5"/>
            <w:tcBorders>
              <w:bottom w:val="single" w:sz="4" w:space="0" w:color="auto"/>
            </w:tcBorders>
            <w:vAlign w:val="center"/>
          </w:tcPr>
          <w:p w14:paraId="733EEE6D"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50619B13" w14:textId="77777777" w:rsidTr="00B84223">
        <w:trPr>
          <w:trHeight w:val="1110"/>
        </w:trPr>
        <w:tc>
          <w:tcPr>
            <w:tcW w:w="4800" w:type="dxa"/>
            <w:gridSpan w:val="2"/>
            <w:tcBorders>
              <w:bottom w:val="single" w:sz="4" w:space="0" w:color="auto"/>
            </w:tcBorders>
            <w:vAlign w:val="center"/>
          </w:tcPr>
          <w:p w14:paraId="510C6630"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63B92231"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16887A1E" w14:textId="77777777" w:rsidTr="00B84223">
        <w:trPr>
          <w:trHeight w:val="830"/>
        </w:trPr>
        <w:tc>
          <w:tcPr>
            <w:tcW w:w="9747" w:type="dxa"/>
            <w:gridSpan w:val="5"/>
            <w:tcBorders>
              <w:bottom w:val="single" w:sz="4" w:space="0" w:color="auto"/>
            </w:tcBorders>
            <w:vAlign w:val="center"/>
          </w:tcPr>
          <w:p w14:paraId="4B87099C"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7B139999" w14:textId="77777777" w:rsidTr="00B84223">
        <w:trPr>
          <w:trHeight w:val="968"/>
        </w:trPr>
        <w:tc>
          <w:tcPr>
            <w:tcW w:w="9747" w:type="dxa"/>
            <w:gridSpan w:val="5"/>
            <w:tcBorders>
              <w:bottom w:val="single" w:sz="4" w:space="0" w:color="auto"/>
            </w:tcBorders>
            <w:vAlign w:val="center"/>
          </w:tcPr>
          <w:p w14:paraId="0CC19F94"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0DB58B15" w14:textId="77777777" w:rsidTr="00B84223">
        <w:trPr>
          <w:trHeight w:val="430"/>
        </w:trPr>
        <w:tc>
          <w:tcPr>
            <w:tcW w:w="9747" w:type="dxa"/>
            <w:gridSpan w:val="5"/>
            <w:tcBorders>
              <w:bottom w:val="single" w:sz="4" w:space="0" w:color="auto"/>
            </w:tcBorders>
            <w:vAlign w:val="center"/>
          </w:tcPr>
          <w:p w14:paraId="39F8828F"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1CE3DC5F" w14:textId="77777777" w:rsidTr="00B84223">
        <w:trPr>
          <w:trHeight w:val="649"/>
        </w:trPr>
        <w:tc>
          <w:tcPr>
            <w:tcW w:w="9747" w:type="dxa"/>
            <w:gridSpan w:val="5"/>
            <w:tcBorders>
              <w:bottom w:val="single" w:sz="4" w:space="0" w:color="auto"/>
            </w:tcBorders>
            <w:vAlign w:val="center"/>
          </w:tcPr>
          <w:p w14:paraId="08A56406"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4BFAE0EB"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72936DB0" w14:textId="77777777" w:rsidR="00992445" w:rsidRPr="0010685F" w:rsidRDefault="00992445" w:rsidP="00B84223">
            <w:pPr>
              <w:autoSpaceDE w:val="0"/>
              <w:autoSpaceDN w:val="0"/>
              <w:adjustRightInd w:val="0"/>
              <w:jc w:val="both"/>
              <w:rPr>
                <w:i/>
                <w:iCs/>
              </w:rPr>
            </w:pPr>
          </w:p>
        </w:tc>
      </w:tr>
      <w:tr w:rsidR="00992445" w:rsidRPr="0010685F" w14:paraId="0002C800" w14:textId="77777777" w:rsidTr="00B84223">
        <w:trPr>
          <w:trHeight w:val="670"/>
        </w:trPr>
        <w:tc>
          <w:tcPr>
            <w:tcW w:w="9747" w:type="dxa"/>
            <w:gridSpan w:val="5"/>
          </w:tcPr>
          <w:p w14:paraId="6C89DD7C" w14:textId="77777777"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05BF557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0E087DC" w14:textId="77777777" w:rsidTr="00B84223">
        <w:trPr>
          <w:trHeight w:val="630"/>
        </w:trPr>
        <w:tc>
          <w:tcPr>
            <w:tcW w:w="9747" w:type="dxa"/>
            <w:tcBorders>
              <w:bottom w:val="single" w:sz="4" w:space="0" w:color="auto"/>
            </w:tcBorders>
          </w:tcPr>
          <w:p w14:paraId="183F3358" w14:textId="77777777" w:rsidR="00992445" w:rsidRPr="0010685F" w:rsidRDefault="00992445" w:rsidP="00B84223">
            <w:pPr>
              <w:ind w:left="1080"/>
              <w:contextualSpacing/>
              <w:rPr>
                <w:sz w:val="22"/>
                <w:szCs w:val="22"/>
              </w:rPr>
            </w:pPr>
          </w:p>
          <w:p w14:paraId="4BA1683E"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0A28F8E1" w14:textId="77777777" w:rsidR="00992445" w:rsidRPr="0010685F" w:rsidRDefault="00992445" w:rsidP="00B84223">
            <w:pPr>
              <w:ind w:left="1080"/>
              <w:contextualSpacing/>
              <w:rPr>
                <w:sz w:val="22"/>
                <w:szCs w:val="22"/>
              </w:rPr>
            </w:pPr>
          </w:p>
        </w:tc>
      </w:tr>
      <w:tr w:rsidR="00992445" w:rsidRPr="0010685F" w14:paraId="2D24CB27" w14:textId="77777777" w:rsidTr="00B84223">
        <w:trPr>
          <w:trHeight w:val="850"/>
        </w:trPr>
        <w:tc>
          <w:tcPr>
            <w:tcW w:w="9747" w:type="dxa"/>
            <w:tcBorders>
              <w:top w:val="single" w:sz="4" w:space="0" w:color="auto"/>
              <w:bottom w:val="single" w:sz="4" w:space="0" w:color="auto"/>
            </w:tcBorders>
          </w:tcPr>
          <w:p w14:paraId="20C8DEA3" w14:textId="77777777" w:rsidR="00992445" w:rsidRPr="0010685F" w:rsidRDefault="00992445" w:rsidP="00B84223">
            <w:pPr>
              <w:ind w:left="720"/>
              <w:contextualSpacing/>
              <w:rPr>
                <w:sz w:val="22"/>
                <w:szCs w:val="22"/>
              </w:rPr>
            </w:pPr>
          </w:p>
          <w:p w14:paraId="5511D347"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27E3303F"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14:paraId="51BEB87A" w14:textId="77777777" w:rsidR="00992445" w:rsidRPr="0010685F" w:rsidRDefault="00992445" w:rsidP="00B84223">
            <w:pPr>
              <w:spacing w:before="40" w:after="40"/>
              <w:contextualSpacing/>
              <w:rPr>
                <w:sz w:val="22"/>
                <w:szCs w:val="22"/>
              </w:rPr>
            </w:pPr>
          </w:p>
          <w:p w14:paraId="1CB80720"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5AF61231" w14:textId="77777777" w:rsidR="00992445" w:rsidRPr="0010685F" w:rsidRDefault="00992445" w:rsidP="00B84223">
            <w:pPr>
              <w:rPr>
                <w:sz w:val="22"/>
                <w:szCs w:val="22"/>
              </w:rPr>
            </w:pPr>
          </w:p>
        </w:tc>
      </w:tr>
    </w:tbl>
    <w:p w14:paraId="7792597A"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5A52359D" w14:textId="77777777" w:rsidTr="00B84223">
        <w:tc>
          <w:tcPr>
            <w:tcW w:w="9747" w:type="dxa"/>
            <w:gridSpan w:val="4"/>
          </w:tcPr>
          <w:p w14:paraId="447F9402" w14:textId="77777777" w:rsidR="00992445" w:rsidRPr="0010685F" w:rsidRDefault="00992445" w:rsidP="00B84223">
            <w:pPr>
              <w:rPr>
                <w:sz w:val="22"/>
                <w:szCs w:val="22"/>
              </w:rPr>
            </w:pPr>
          </w:p>
          <w:p w14:paraId="6D5DDFC6"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455EA0F8" w14:textId="77777777" w:rsidR="00992445" w:rsidRPr="0010685F" w:rsidRDefault="00992445" w:rsidP="00B84223">
            <w:pPr>
              <w:rPr>
                <w:sz w:val="22"/>
                <w:szCs w:val="22"/>
              </w:rPr>
            </w:pPr>
          </w:p>
        </w:tc>
      </w:tr>
      <w:tr w:rsidR="00992445" w:rsidRPr="0010685F" w14:paraId="27826B30" w14:textId="77777777" w:rsidTr="00B84223">
        <w:trPr>
          <w:trHeight w:val="805"/>
        </w:trPr>
        <w:tc>
          <w:tcPr>
            <w:tcW w:w="3510" w:type="dxa"/>
            <w:vAlign w:val="center"/>
          </w:tcPr>
          <w:p w14:paraId="1EDFBAFA"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0814D4BA"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22319720"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637F58E6"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32ADF277" w14:textId="77777777" w:rsidTr="00B84223">
        <w:trPr>
          <w:trHeight w:val="805"/>
        </w:trPr>
        <w:tc>
          <w:tcPr>
            <w:tcW w:w="3510" w:type="dxa"/>
            <w:vAlign w:val="center"/>
          </w:tcPr>
          <w:p w14:paraId="5156DF09"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0CB74ADE"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6EBFDE05"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51B54892"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23F897D9" w14:textId="77777777" w:rsidTr="00B84223">
        <w:trPr>
          <w:trHeight w:val="805"/>
        </w:trPr>
        <w:tc>
          <w:tcPr>
            <w:tcW w:w="3510" w:type="dxa"/>
            <w:vAlign w:val="center"/>
          </w:tcPr>
          <w:p w14:paraId="563B8882"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44F0D5CB"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66469C2B"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3DE20C24"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1AA13D8D" w14:textId="77777777" w:rsidTr="00B84223">
        <w:trPr>
          <w:trHeight w:val="805"/>
        </w:trPr>
        <w:tc>
          <w:tcPr>
            <w:tcW w:w="3510" w:type="dxa"/>
            <w:vAlign w:val="center"/>
          </w:tcPr>
          <w:p w14:paraId="12E62059"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2173B8DF"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6F8801E0"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4FBCD76D"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36C3129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AC32AC8" w14:textId="77777777" w:rsidTr="00B84223">
        <w:trPr>
          <w:trHeight w:val="1020"/>
        </w:trPr>
        <w:tc>
          <w:tcPr>
            <w:tcW w:w="9747" w:type="dxa"/>
          </w:tcPr>
          <w:p w14:paraId="74AD899D" w14:textId="77777777" w:rsidR="00992445" w:rsidRPr="0010685F" w:rsidRDefault="00992445" w:rsidP="00B84223">
            <w:pPr>
              <w:ind w:left="1080"/>
              <w:contextualSpacing/>
              <w:rPr>
                <w:sz w:val="22"/>
                <w:szCs w:val="22"/>
              </w:rPr>
            </w:pPr>
          </w:p>
          <w:p w14:paraId="40854CE9"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54E470AB" w14:textId="77777777" w:rsidR="00992445" w:rsidRPr="0010685F" w:rsidRDefault="00992445" w:rsidP="00B84223">
            <w:pPr>
              <w:ind w:left="1080"/>
              <w:contextualSpacing/>
              <w:rPr>
                <w:sz w:val="22"/>
                <w:szCs w:val="22"/>
              </w:rPr>
            </w:pPr>
          </w:p>
        </w:tc>
      </w:tr>
      <w:tr w:rsidR="00992445" w:rsidRPr="0010685F" w14:paraId="39AC42F8" w14:textId="77777777" w:rsidTr="00B84223">
        <w:trPr>
          <w:trHeight w:val="1274"/>
        </w:trPr>
        <w:tc>
          <w:tcPr>
            <w:tcW w:w="9747" w:type="dxa"/>
          </w:tcPr>
          <w:p w14:paraId="0C4D329F" w14:textId="77777777" w:rsidR="00992445" w:rsidRPr="0010685F" w:rsidRDefault="00992445" w:rsidP="00B84223">
            <w:pPr>
              <w:rPr>
                <w:sz w:val="22"/>
                <w:szCs w:val="22"/>
              </w:rPr>
            </w:pPr>
          </w:p>
          <w:p w14:paraId="089BA9D3"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56CEAFA2" w14:textId="77777777" w:rsidR="00992445" w:rsidRPr="0010685F" w:rsidRDefault="00992445" w:rsidP="00B84223">
            <w:pPr>
              <w:rPr>
                <w:sz w:val="22"/>
                <w:szCs w:val="22"/>
              </w:rPr>
            </w:pPr>
          </w:p>
          <w:p w14:paraId="5234CB98"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4E7355B8" w14:textId="77777777" w:rsidR="00992445" w:rsidRPr="0010685F" w:rsidRDefault="00992445" w:rsidP="00B84223">
            <w:pPr>
              <w:ind w:left="1080"/>
              <w:contextualSpacing/>
              <w:rPr>
                <w:sz w:val="22"/>
                <w:szCs w:val="22"/>
              </w:rPr>
            </w:pPr>
          </w:p>
        </w:tc>
      </w:tr>
    </w:tbl>
    <w:p w14:paraId="2091F6BE"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15BF0466" w14:textId="77777777" w:rsidTr="00B84223">
        <w:trPr>
          <w:trHeight w:val="750"/>
        </w:trPr>
        <w:tc>
          <w:tcPr>
            <w:tcW w:w="9747" w:type="dxa"/>
          </w:tcPr>
          <w:p w14:paraId="1AB397EA" w14:textId="77777777" w:rsidR="00992445" w:rsidRPr="0010685F" w:rsidRDefault="00992445" w:rsidP="00B84223">
            <w:pPr>
              <w:ind w:left="1080"/>
              <w:contextualSpacing/>
              <w:rPr>
                <w:sz w:val="22"/>
                <w:szCs w:val="22"/>
              </w:rPr>
            </w:pPr>
          </w:p>
          <w:p w14:paraId="76D7AB05"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4AC8D5CD" w14:textId="77777777" w:rsidR="00992445" w:rsidRPr="0010685F" w:rsidRDefault="00992445" w:rsidP="00B84223">
            <w:pPr>
              <w:ind w:left="1080"/>
              <w:contextualSpacing/>
              <w:rPr>
                <w:sz w:val="22"/>
                <w:szCs w:val="22"/>
              </w:rPr>
            </w:pPr>
          </w:p>
        </w:tc>
      </w:tr>
      <w:tr w:rsidR="00992445" w:rsidRPr="0010685F" w14:paraId="747AF4D1" w14:textId="77777777" w:rsidTr="00B84223">
        <w:trPr>
          <w:trHeight w:val="525"/>
        </w:trPr>
        <w:tc>
          <w:tcPr>
            <w:tcW w:w="9747" w:type="dxa"/>
          </w:tcPr>
          <w:p w14:paraId="5C18783F" w14:textId="77777777" w:rsidR="00992445" w:rsidRPr="0010685F" w:rsidRDefault="00992445" w:rsidP="00B84223">
            <w:pPr>
              <w:rPr>
                <w:sz w:val="22"/>
                <w:szCs w:val="22"/>
              </w:rPr>
            </w:pPr>
          </w:p>
          <w:p w14:paraId="31C9F5C2"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2BE5EA65" w14:textId="77777777" w:rsidR="00992445" w:rsidRPr="0010685F" w:rsidRDefault="00992445" w:rsidP="00B84223">
            <w:pPr>
              <w:rPr>
                <w:sz w:val="22"/>
                <w:szCs w:val="22"/>
              </w:rPr>
            </w:pPr>
          </w:p>
          <w:p w14:paraId="2E5DF325"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5458CBC" w14:textId="77777777" w:rsidR="00992445" w:rsidRPr="0010685F" w:rsidRDefault="00992445" w:rsidP="00B84223">
            <w:pPr>
              <w:rPr>
                <w:sz w:val="22"/>
                <w:szCs w:val="22"/>
              </w:rPr>
            </w:pPr>
          </w:p>
          <w:p w14:paraId="3834EE46"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1A5D56F" w14:textId="77777777" w:rsidR="00992445" w:rsidRPr="0010685F" w:rsidRDefault="00992445" w:rsidP="00B84223">
            <w:pPr>
              <w:rPr>
                <w:sz w:val="22"/>
                <w:szCs w:val="22"/>
              </w:rPr>
            </w:pPr>
          </w:p>
          <w:p w14:paraId="31F9F3A5"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5D04BF21" w14:textId="77777777" w:rsidR="00992445" w:rsidRPr="0010685F" w:rsidRDefault="00992445" w:rsidP="00B84223">
            <w:pPr>
              <w:rPr>
                <w:sz w:val="22"/>
                <w:szCs w:val="22"/>
              </w:rPr>
            </w:pPr>
          </w:p>
          <w:p w14:paraId="1A254C0D"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23E35A41" w14:textId="77777777" w:rsidR="00992445" w:rsidRPr="0010685F" w:rsidRDefault="00992445" w:rsidP="00B84223">
            <w:pPr>
              <w:rPr>
                <w:sz w:val="22"/>
                <w:szCs w:val="22"/>
              </w:rPr>
            </w:pPr>
          </w:p>
          <w:p w14:paraId="640A26AF" w14:textId="77777777" w:rsidR="00992445" w:rsidRPr="0010685F" w:rsidRDefault="00992445" w:rsidP="00B84223">
            <w:pPr>
              <w:ind w:left="1080"/>
              <w:contextualSpacing/>
              <w:rPr>
                <w:sz w:val="22"/>
                <w:szCs w:val="22"/>
              </w:rPr>
            </w:pPr>
          </w:p>
        </w:tc>
      </w:tr>
    </w:tbl>
    <w:p w14:paraId="2C0EEFB0"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53767D1C" w14:textId="77777777" w:rsidTr="00B84223">
        <w:trPr>
          <w:trHeight w:val="990"/>
        </w:trPr>
        <w:tc>
          <w:tcPr>
            <w:tcW w:w="9781" w:type="dxa"/>
            <w:gridSpan w:val="6"/>
          </w:tcPr>
          <w:p w14:paraId="540DECDB" w14:textId="77777777" w:rsidR="00992445" w:rsidRPr="0010685F" w:rsidRDefault="00992445" w:rsidP="00B84223">
            <w:pPr>
              <w:ind w:left="1080"/>
              <w:contextualSpacing/>
              <w:rPr>
                <w:b/>
                <w:sz w:val="22"/>
                <w:szCs w:val="22"/>
              </w:rPr>
            </w:pPr>
          </w:p>
          <w:p w14:paraId="3544770F"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1E984AB3" w14:textId="77777777" w:rsidR="00992445" w:rsidRPr="0010685F" w:rsidRDefault="00992445" w:rsidP="00B84223">
            <w:pPr>
              <w:ind w:left="1080"/>
              <w:contextualSpacing/>
              <w:rPr>
                <w:sz w:val="22"/>
                <w:szCs w:val="22"/>
                <w:lang w:val="en-US"/>
              </w:rPr>
            </w:pPr>
          </w:p>
        </w:tc>
      </w:tr>
      <w:tr w:rsidR="00992445" w:rsidRPr="0010685F" w14:paraId="2A908119" w14:textId="77777777" w:rsidTr="00B84223">
        <w:trPr>
          <w:trHeight w:val="1062"/>
        </w:trPr>
        <w:tc>
          <w:tcPr>
            <w:tcW w:w="2977" w:type="dxa"/>
            <w:vAlign w:val="center"/>
          </w:tcPr>
          <w:p w14:paraId="03AA6AF9" w14:textId="77777777" w:rsidR="00992445" w:rsidRPr="0010685F" w:rsidRDefault="00992445" w:rsidP="00B84223">
            <w:pPr>
              <w:jc w:val="center"/>
              <w:rPr>
                <w:b/>
                <w:sz w:val="22"/>
                <w:szCs w:val="22"/>
              </w:rPr>
            </w:pPr>
            <w:r w:rsidRPr="0010685F">
              <w:rPr>
                <w:sz w:val="22"/>
                <w:szCs w:val="22"/>
              </w:rPr>
              <w:t>_____________________</w:t>
            </w:r>
          </w:p>
          <w:p w14:paraId="3BD69718"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326F35E2" w14:textId="77777777" w:rsidR="00992445" w:rsidRPr="0010685F" w:rsidRDefault="00992445" w:rsidP="00B84223">
            <w:pPr>
              <w:jc w:val="center"/>
              <w:rPr>
                <w:b/>
                <w:sz w:val="22"/>
                <w:szCs w:val="22"/>
              </w:rPr>
            </w:pPr>
          </w:p>
          <w:p w14:paraId="6F72E17C" w14:textId="77777777" w:rsidR="00992445" w:rsidRPr="0010685F" w:rsidRDefault="00992445" w:rsidP="00B84223">
            <w:pPr>
              <w:jc w:val="center"/>
              <w:rPr>
                <w:rFonts w:eastAsia="Calibri"/>
                <w:sz w:val="48"/>
                <w:szCs w:val="48"/>
              </w:rPr>
            </w:pPr>
            <w:r w:rsidRPr="0010685F">
              <w:rPr>
                <w:rFonts w:eastAsia="Calibri"/>
                <w:sz w:val="48"/>
                <w:szCs w:val="48"/>
              </w:rPr>
              <w:t>□□□□</w:t>
            </w:r>
          </w:p>
          <w:p w14:paraId="25414FB4"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559B7765" w14:textId="77777777" w:rsidR="00992445" w:rsidRPr="0010685F" w:rsidRDefault="00992445" w:rsidP="00B84223">
            <w:pPr>
              <w:jc w:val="center"/>
              <w:rPr>
                <w:b/>
                <w:sz w:val="22"/>
                <w:szCs w:val="22"/>
              </w:rPr>
            </w:pPr>
          </w:p>
          <w:p w14:paraId="484030B6" w14:textId="77777777" w:rsidR="00992445" w:rsidRPr="0010685F" w:rsidRDefault="00992445" w:rsidP="00B84223">
            <w:pPr>
              <w:jc w:val="center"/>
              <w:rPr>
                <w:rFonts w:eastAsia="Calibri"/>
                <w:sz w:val="48"/>
                <w:szCs w:val="48"/>
              </w:rPr>
            </w:pPr>
            <w:r w:rsidRPr="0010685F">
              <w:rPr>
                <w:rFonts w:eastAsia="Calibri"/>
                <w:sz w:val="48"/>
                <w:szCs w:val="48"/>
              </w:rPr>
              <w:t>□□</w:t>
            </w:r>
          </w:p>
          <w:p w14:paraId="619999D8"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5CAFEA9A" w14:textId="77777777" w:rsidR="00992445" w:rsidRPr="0010685F" w:rsidRDefault="00992445" w:rsidP="00B84223">
            <w:pPr>
              <w:jc w:val="center"/>
              <w:rPr>
                <w:b/>
                <w:sz w:val="22"/>
                <w:szCs w:val="22"/>
              </w:rPr>
            </w:pPr>
          </w:p>
          <w:p w14:paraId="63C80ECE" w14:textId="77777777" w:rsidR="00992445" w:rsidRPr="0010685F" w:rsidRDefault="00992445" w:rsidP="00B84223">
            <w:pPr>
              <w:jc w:val="center"/>
              <w:rPr>
                <w:rFonts w:eastAsia="Calibri"/>
                <w:sz w:val="48"/>
                <w:szCs w:val="48"/>
              </w:rPr>
            </w:pPr>
            <w:r w:rsidRPr="0010685F">
              <w:rPr>
                <w:rFonts w:eastAsia="Calibri"/>
                <w:sz w:val="48"/>
                <w:szCs w:val="48"/>
              </w:rPr>
              <w:t>□□</w:t>
            </w:r>
          </w:p>
          <w:p w14:paraId="0CECCE27"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73AD756C" w14:textId="77777777" w:rsidR="00992445" w:rsidRPr="0010685F" w:rsidRDefault="00992445" w:rsidP="00B84223">
            <w:pPr>
              <w:contextualSpacing/>
              <w:jc w:val="center"/>
              <w:rPr>
                <w:sz w:val="22"/>
                <w:szCs w:val="22"/>
              </w:rPr>
            </w:pPr>
          </w:p>
          <w:p w14:paraId="607EA678" w14:textId="77777777" w:rsidR="00992445" w:rsidRPr="0010685F" w:rsidRDefault="00992445" w:rsidP="00B84223">
            <w:pPr>
              <w:contextualSpacing/>
              <w:jc w:val="center"/>
              <w:rPr>
                <w:sz w:val="22"/>
                <w:szCs w:val="22"/>
              </w:rPr>
            </w:pPr>
            <w:r w:rsidRPr="0010685F">
              <w:rPr>
                <w:sz w:val="22"/>
                <w:szCs w:val="22"/>
              </w:rPr>
              <w:t>_________________________</w:t>
            </w:r>
          </w:p>
          <w:p w14:paraId="75C53BB5"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3BCDE635" w14:textId="77777777" w:rsidTr="00B84223">
        <w:trPr>
          <w:trHeight w:val="425"/>
        </w:trPr>
        <w:tc>
          <w:tcPr>
            <w:tcW w:w="9781" w:type="dxa"/>
            <w:gridSpan w:val="6"/>
            <w:vAlign w:val="center"/>
          </w:tcPr>
          <w:p w14:paraId="04B556C1"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090D8EDF" w14:textId="77777777" w:rsidTr="00B84223">
        <w:tc>
          <w:tcPr>
            <w:tcW w:w="4444" w:type="dxa"/>
            <w:gridSpan w:val="3"/>
            <w:vMerge w:val="restart"/>
          </w:tcPr>
          <w:p w14:paraId="65054CA7" w14:textId="77777777" w:rsidR="00992445" w:rsidRPr="0010685F" w:rsidRDefault="00992445" w:rsidP="00B84223">
            <w:pPr>
              <w:rPr>
                <w:sz w:val="22"/>
                <w:szCs w:val="22"/>
                <w:lang w:val="en-US"/>
              </w:rPr>
            </w:pPr>
          </w:p>
        </w:tc>
        <w:tc>
          <w:tcPr>
            <w:tcW w:w="5337" w:type="dxa"/>
            <w:gridSpan w:val="3"/>
          </w:tcPr>
          <w:p w14:paraId="175A94DD"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04BDADC2" w14:textId="77777777" w:rsidTr="00B84223">
        <w:tc>
          <w:tcPr>
            <w:tcW w:w="4444" w:type="dxa"/>
            <w:gridSpan w:val="3"/>
            <w:vMerge/>
          </w:tcPr>
          <w:p w14:paraId="682EB768" w14:textId="77777777" w:rsidR="00992445" w:rsidRPr="0010685F" w:rsidRDefault="00992445" w:rsidP="00B84223">
            <w:pPr>
              <w:rPr>
                <w:sz w:val="22"/>
                <w:szCs w:val="22"/>
                <w:lang w:val="en-US"/>
              </w:rPr>
            </w:pPr>
          </w:p>
        </w:tc>
        <w:tc>
          <w:tcPr>
            <w:tcW w:w="5337" w:type="dxa"/>
            <w:gridSpan w:val="3"/>
          </w:tcPr>
          <w:p w14:paraId="633F0C09"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0EAF0A3B" w14:textId="77777777" w:rsidTr="00B84223">
        <w:tc>
          <w:tcPr>
            <w:tcW w:w="4444" w:type="dxa"/>
            <w:gridSpan w:val="3"/>
            <w:vMerge/>
          </w:tcPr>
          <w:p w14:paraId="7BBFA1F2" w14:textId="77777777" w:rsidR="00992445" w:rsidRPr="0010685F" w:rsidRDefault="00992445" w:rsidP="00B84223">
            <w:pPr>
              <w:rPr>
                <w:sz w:val="22"/>
                <w:szCs w:val="22"/>
                <w:lang w:val="en-US"/>
              </w:rPr>
            </w:pPr>
          </w:p>
        </w:tc>
        <w:tc>
          <w:tcPr>
            <w:tcW w:w="5337" w:type="dxa"/>
            <w:gridSpan w:val="3"/>
          </w:tcPr>
          <w:p w14:paraId="01B4C325"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6C283E38" w14:textId="77777777" w:rsidR="00BF3B47" w:rsidRDefault="00BF3B47"/>
    <w:p w14:paraId="5EE7D172" w14:textId="77777777" w:rsidR="00CE5280" w:rsidRDefault="00CE5280"/>
    <w:p w14:paraId="7E5AD9DA" w14:textId="77777777" w:rsidR="00CE5280" w:rsidRDefault="00CE5280"/>
    <w:p w14:paraId="7E647F6C" w14:textId="77777777" w:rsidR="00CE5280" w:rsidRDefault="00CE5280"/>
    <w:p w14:paraId="70793C8E" w14:textId="77777777" w:rsidR="00CE5280" w:rsidRDefault="00CE5280"/>
    <w:p w14:paraId="76150A32" w14:textId="77777777" w:rsidR="001072C6" w:rsidRDefault="001072C6">
      <w:pPr>
        <w:spacing w:after="200" w:line="276" w:lineRule="auto"/>
      </w:pPr>
      <w:r>
        <w:br w:type="page"/>
      </w:r>
    </w:p>
    <w:p w14:paraId="20350EB0" w14:textId="77777777" w:rsidR="00CE5280" w:rsidRDefault="00CE5280"/>
    <w:p w14:paraId="2E81266B" w14:textId="77777777" w:rsidR="00CE5280" w:rsidRDefault="00CE5280"/>
    <w:p w14:paraId="2BAB9E5B" w14:textId="77777777" w:rsidR="00CE5280" w:rsidRDefault="00CE5280"/>
    <w:p w14:paraId="71E6C779"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3D7F528F"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588F1D7A"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56AAFE2"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68EA2D6B"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7ADD442C"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158D582E"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6A7C8A7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46D9DCF0"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2EFDC2DF"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5829BD20"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544965D7"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1ED4D48E"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65EB1131"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05FF7B31" w14:textId="77777777" w:rsidR="008C17E1" w:rsidRDefault="008C17E1" w:rsidP="008C17E1">
      <w:pPr>
        <w:autoSpaceDE w:val="0"/>
        <w:autoSpaceDN w:val="0"/>
        <w:adjustRightInd w:val="0"/>
        <w:jc w:val="both"/>
        <w:rPr>
          <w:b/>
        </w:rPr>
      </w:pPr>
    </w:p>
    <w:p w14:paraId="3525B9FA"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035C87FC" w14:textId="77777777" w:rsidR="008C17E1" w:rsidRDefault="008C17E1" w:rsidP="008C17E1">
      <w:pPr>
        <w:autoSpaceDE w:val="0"/>
        <w:autoSpaceDN w:val="0"/>
        <w:adjustRightInd w:val="0"/>
        <w:jc w:val="both"/>
      </w:pPr>
    </w:p>
    <w:p w14:paraId="0FD9920F"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28C5162D" w14:textId="77777777" w:rsidR="008C17E1" w:rsidRDefault="008C17E1" w:rsidP="008C17E1">
      <w:pPr>
        <w:autoSpaceDE w:val="0"/>
        <w:autoSpaceDN w:val="0"/>
        <w:adjustRightInd w:val="0"/>
        <w:jc w:val="both"/>
      </w:pPr>
    </w:p>
    <w:p w14:paraId="2BF09630"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47BE811C" w14:textId="77777777" w:rsidR="008C17E1" w:rsidRDefault="008C17E1" w:rsidP="008C17E1">
      <w:pPr>
        <w:autoSpaceDE w:val="0"/>
        <w:autoSpaceDN w:val="0"/>
        <w:adjustRightInd w:val="0"/>
        <w:jc w:val="both"/>
      </w:pPr>
    </w:p>
    <w:p w14:paraId="726BE88F"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30C5AA8A" w14:textId="77777777" w:rsidR="008C17E1" w:rsidRDefault="008C17E1" w:rsidP="008C17E1">
      <w:pPr>
        <w:autoSpaceDE w:val="0"/>
        <w:autoSpaceDN w:val="0"/>
        <w:adjustRightInd w:val="0"/>
        <w:jc w:val="both"/>
      </w:pPr>
    </w:p>
    <w:p w14:paraId="2A2C3BE3" w14:textId="77777777" w:rsidR="008C17E1" w:rsidRDefault="008C17E1" w:rsidP="008C17E1">
      <w:pPr>
        <w:autoSpaceDE w:val="0"/>
        <w:autoSpaceDN w:val="0"/>
        <w:adjustRightInd w:val="0"/>
        <w:jc w:val="both"/>
      </w:pPr>
      <w:r>
        <w:t>Ennek oka lehet az:</w:t>
      </w:r>
    </w:p>
    <w:p w14:paraId="7E023F70" w14:textId="77777777" w:rsidR="008C17E1" w:rsidRDefault="008C17E1" w:rsidP="008C17E1">
      <w:pPr>
        <w:autoSpaceDE w:val="0"/>
        <w:autoSpaceDN w:val="0"/>
        <w:adjustRightInd w:val="0"/>
        <w:jc w:val="both"/>
      </w:pPr>
    </w:p>
    <w:p w14:paraId="3748B2EF"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7B054F6A"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15C4987C"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321A9401" w14:textId="77777777" w:rsidR="008C17E1" w:rsidRDefault="008C17E1" w:rsidP="008C17E1">
      <w:pPr>
        <w:autoSpaceDE w:val="0"/>
        <w:autoSpaceDN w:val="0"/>
        <w:adjustRightInd w:val="0"/>
        <w:jc w:val="both"/>
      </w:pPr>
    </w:p>
    <w:p w14:paraId="40ACC4BA"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3F03EFA8" w14:textId="77777777" w:rsidR="008C17E1" w:rsidRDefault="008C17E1" w:rsidP="008C17E1">
      <w:pPr>
        <w:autoSpaceDE w:val="0"/>
        <w:autoSpaceDN w:val="0"/>
        <w:adjustRightInd w:val="0"/>
        <w:jc w:val="both"/>
      </w:pPr>
    </w:p>
    <w:p w14:paraId="150DE2F1"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50C7E209" w14:textId="77777777" w:rsidR="008C17E1" w:rsidRDefault="008C17E1" w:rsidP="008C17E1">
      <w:pPr>
        <w:autoSpaceDE w:val="0"/>
        <w:autoSpaceDN w:val="0"/>
        <w:adjustRightInd w:val="0"/>
        <w:jc w:val="both"/>
      </w:pPr>
    </w:p>
    <w:p w14:paraId="1F374CBC" w14:textId="77777777" w:rsidR="008C17E1" w:rsidRPr="002F3BF6" w:rsidRDefault="008C17E1" w:rsidP="008C17E1">
      <w:pPr>
        <w:autoSpaceDE w:val="0"/>
        <w:autoSpaceDN w:val="0"/>
        <w:adjustRightInd w:val="0"/>
        <w:jc w:val="both"/>
        <w:rPr>
          <w:b/>
        </w:rPr>
      </w:pPr>
      <w:r w:rsidRPr="002F3BF6">
        <w:rPr>
          <w:b/>
        </w:rPr>
        <w:t>Vagyoni értékű jog jogosítottja</w:t>
      </w:r>
    </w:p>
    <w:p w14:paraId="27879D7E" w14:textId="77777777" w:rsidR="008C17E1" w:rsidRDefault="008C17E1" w:rsidP="008C17E1">
      <w:pPr>
        <w:autoSpaceDE w:val="0"/>
        <w:autoSpaceDN w:val="0"/>
        <w:adjustRightInd w:val="0"/>
        <w:jc w:val="both"/>
      </w:pPr>
    </w:p>
    <w:p w14:paraId="18B1B268"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74160C21" w14:textId="77777777" w:rsidR="008C17E1" w:rsidRDefault="008C17E1" w:rsidP="008C17E1">
      <w:pPr>
        <w:autoSpaceDE w:val="0"/>
        <w:autoSpaceDN w:val="0"/>
        <w:adjustRightInd w:val="0"/>
        <w:jc w:val="both"/>
      </w:pPr>
    </w:p>
    <w:p w14:paraId="0CDC51B7"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B37998A" w14:textId="77777777" w:rsidR="008C17E1" w:rsidRDefault="008C17E1" w:rsidP="008C17E1">
      <w:pPr>
        <w:autoSpaceDE w:val="0"/>
        <w:autoSpaceDN w:val="0"/>
        <w:adjustRightInd w:val="0"/>
        <w:jc w:val="both"/>
      </w:pPr>
    </w:p>
    <w:p w14:paraId="1F0A4EF4"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69839804" w14:textId="77777777" w:rsidR="008C17E1" w:rsidRDefault="008C17E1" w:rsidP="008C17E1">
      <w:pPr>
        <w:autoSpaceDE w:val="0"/>
        <w:autoSpaceDN w:val="0"/>
        <w:adjustRightInd w:val="0"/>
        <w:jc w:val="both"/>
      </w:pPr>
    </w:p>
    <w:p w14:paraId="786BC630"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599F1F7D" w14:textId="77777777" w:rsidR="008C17E1" w:rsidRPr="00C42158" w:rsidRDefault="008C17E1" w:rsidP="008C17E1">
      <w:pPr>
        <w:autoSpaceDE w:val="0"/>
        <w:autoSpaceDN w:val="0"/>
        <w:adjustRightInd w:val="0"/>
        <w:jc w:val="both"/>
        <w:rPr>
          <w:b/>
        </w:rPr>
      </w:pPr>
    </w:p>
    <w:p w14:paraId="4887E895" w14:textId="77777777" w:rsidR="008C17E1" w:rsidRPr="00C42158" w:rsidRDefault="008C17E1" w:rsidP="008C17E1">
      <w:pPr>
        <w:autoSpaceDE w:val="0"/>
        <w:autoSpaceDN w:val="0"/>
        <w:adjustRightInd w:val="0"/>
        <w:jc w:val="both"/>
        <w:rPr>
          <w:b/>
        </w:rPr>
      </w:pPr>
      <w:r w:rsidRPr="00C42158">
        <w:rPr>
          <w:b/>
        </w:rPr>
        <w:t>Egyéb esetek</w:t>
      </w:r>
    </w:p>
    <w:p w14:paraId="20F284BB" w14:textId="77777777" w:rsidR="008C17E1" w:rsidRPr="00595C05" w:rsidRDefault="008C17E1" w:rsidP="008C17E1">
      <w:pPr>
        <w:autoSpaceDE w:val="0"/>
        <w:autoSpaceDN w:val="0"/>
        <w:adjustRightInd w:val="0"/>
        <w:jc w:val="both"/>
      </w:pPr>
    </w:p>
    <w:p w14:paraId="12DAC34B"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6D82C10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4C350163" w14:textId="77777777" w:rsidR="008C17E1" w:rsidRDefault="008C17E1" w:rsidP="008C17E1">
      <w:pPr>
        <w:autoSpaceDE w:val="0"/>
        <w:autoSpaceDN w:val="0"/>
        <w:adjustRightInd w:val="0"/>
        <w:jc w:val="both"/>
        <w:rPr>
          <w:rFonts w:eastAsia="Arial"/>
          <w:b/>
          <w:bCs/>
        </w:rPr>
      </w:pPr>
    </w:p>
    <w:p w14:paraId="288321EF" w14:textId="77777777" w:rsidR="008C17E1" w:rsidRDefault="008C17E1" w:rsidP="008C17E1">
      <w:pPr>
        <w:autoSpaceDE w:val="0"/>
        <w:autoSpaceDN w:val="0"/>
        <w:adjustRightInd w:val="0"/>
        <w:jc w:val="both"/>
        <w:rPr>
          <w:rFonts w:eastAsia="Arial"/>
          <w:b/>
          <w:bCs/>
        </w:rPr>
      </w:pPr>
      <w:r>
        <w:rPr>
          <w:rFonts w:eastAsia="Arial"/>
          <w:b/>
          <w:bCs/>
        </w:rPr>
        <w:t>Adóköteles</w:t>
      </w:r>
    </w:p>
    <w:p w14:paraId="49B9A80A"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727055C8"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5A97C4CD"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0B65E316"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5EC58B12" w14:textId="77777777" w:rsidR="008C17E1" w:rsidRDefault="008C17E1" w:rsidP="008C17E1">
      <w:pPr>
        <w:autoSpaceDE w:val="0"/>
        <w:autoSpaceDN w:val="0"/>
        <w:adjustRightInd w:val="0"/>
        <w:jc w:val="both"/>
        <w:rPr>
          <w:rFonts w:eastAsia="Arial"/>
          <w:b/>
          <w:bCs/>
        </w:rPr>
      </w:pPr>
    </w:p>
    <w:p w14:paraId="5B7527B3"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3880E907" w14:textId="77777777" w:rsidR="008C17E1" w:rsidRDefault="008C17E1" w:rsidP="008C17E1">
      <w:pPr>
        <w:autoSpaceDE w:val="0"/>
        <w:autoSpaceDN w:val="0"/>
        <w:adjustRightInd w:val="0"/>
        <w:jc w:val="both"/>
      </w:pPr>
    </w:p>
    <w:p w14:paraId="447873B4"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5BFBA924" w14:textId="77777777" w:rsidR="008C17E1" w:rsidRDefault="008C17E1" w:rsidP="008C17E1">
      <w:pPr>
        <w:autoSpaceDE w:val="0"/>
        <w:autoSpaceDN w:val="0"/>
        <w:adjustRightInd w:val="0"/>
        <w:jc w:val="both"/>
      </w:pPr>
    </w:p>
    <w:p w14:paraId="6094A15E"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40FF8471"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2588AF1B" w14:textId="77777777" w:rsidR="008C17E1" w:rsidRDefault="008C17E1" w:rsidP="00CE5280">
      <w:pPr>
        <w:autoSpaceDE w:val="0"/>
        <w:autoSpaceDN w:val="0"/>
        <w:adjustRightInd w:val="0"/>
        <w:jc w:val="both"/>
        <w:rPr>
          <w:rFonts w:eastAsia="Arial"/>
          <w:b/>
          <w:bCs/>
        </w:rPr>
      </w:pPr>
    </w:p>
    <w:p w14:paraId="07B2604D"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61251401"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667D66BE"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73DB74F1"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45222D4C"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4B309E3E"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23337E00"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097598CD"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7F7398EE"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10BEE5F7"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0688DFD1" w14:textId="77777777" w:rsidR="00CE5280" w:rsidRDefault="00CE5280" w:rsidP="00CE5280">
      <w:pPr>
        <w:autoSpaceDE w:val="0"/>
        <w:autoSpaceDN w:val="0"/>
        <w:adjustRightInd w:val="0"/>
        <w:jc w:val="both"/>
      </w:pPr>
    </w:p>
    <w:p w14:paraId="4BFF1969"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147EABBC" w14:textId="77777777" w:rsidR="00EE0233" w:rsidRDefault="00EE0233" w:rsidP="00CE5280">
      <w:pPr>
        <w:autoSpaceDE w:val="0"/>
        <w:autoSpaceDN w:val="0"/>
        <w:adjustRightInd w:val="0"/>
        <w:jc w:val="both"/>
      </w:pPr>
    </w:p>
    <w:p w14:paraId="5A8F15ED"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3E48FBA4" w14:textId="77777777" w:rsidR="00EE0233" w:rsidRDefault="00EE0233" w:rsidP="00CE5280">
      <w:pPr>
        <w:autoSpaceDE w:val="0"/>
        <w:autoSpaceDN w:val="0"/>
        <w:adjustRightInd w:val="0"/>
        <w:jc w:val="both"/>
      </w:pPr>
    </w:p>
    <w:p w14:paraId="10EA948E"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1251B420" w14:textId="77777777" w:rsidR="00EE0233" w:rsidRDefault="00EE0233" w:rsidP="00CE5280">
      <w:pPr>
        <w:autoSpaceDE w:val="0"/>
        <w:autoSpaceDN w:val="0"/>
        <w:adjustRightInd w:val="0"/>
        <w:jc w:val="both"/>
      </w:pPr>
    </w:p>
    <w:p w14:paraId="6377ED5D"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0AD9FC67" w14:textId="77777777" w:rsidR="00CE5280" w:rsidRDefault="00CE5280" w:rsidP="00CE5280">
      <w:pPr>
        <w:autoSpaceDE w:val="0"/>
        <w:autoSpaceDN w:val="0"/>
        <w:adjustRightInd w:val="0"/>
        <w:jc w:val="both"/>
      </w:pPr>
    </w:p>
    <w:p w14:paraId="67B4B94F" w14:textId="77777777" w:rsidR="00EE0233" w:rsidRDefault="00EE0233" w:rsidP="00EE0233">
      <w:pPr>
        <w:autoSpaceDE w:val="0"/>
        <w:autoSpaceDN w:val="0"/>
        <w:adjustRightInd w:val="0"/>
        <w:jc w:val="both"/>
        <w:rPr>
          <w:b/>
          <w:i/>
        </w:rPr>
      </w:pPr>
    </w:p>
    <w:p w14:paraId="1B35E6E4" w14:textId="77777777" w:rsidR="00EE0233" w:rsidRDefault="00EE0233" w:rsidP="00EE0233">
      <w:pPr>
        <w:autoSpaceDE w:val="0"/>
        <w:autoSpaceDN w:val="0"/>
        <w:adjustRightInd w:val="0"/>
        <w:jc w:val="both"/>
        <w:rPr>
          <w:b/>
          <w:i/>
        </w:rPr>
      </w:pPr>
    </w:p>
    <w:p w14:paraId="7DE76E79" w14:textId="77777777" w:rsidR="00EE0233" w:rsidRDefault="00EE0233" w:rsidP="00EE0233">
      <w:pPr>
        <w:autoSpaceDE w:val="0"/>
        <w:autoSpaceDN w:val="0"/>
        <w:adjustRightInd w:val="0"/>
        <w:jc w:val="both"/>
        <w:rPr>
          <w:b/>
          <w:i/>
        </w:rPr>
      </w:pPr>
    </w:p>
    <w:p w14:paraId="32861A42" w14:textId="77777777" w:rsidR="00EE0233" w:rsidRDefault="00EE0233" w:rsidP="00EE0233">
      <w:pPr>
        <w:autoSpaceDE w:val="0"/>
        <w:autoSpaceDN w:val="0"/>
        <w:adjustRightInd w:val="0"/>
        <w:jc w:val="both"/>
        <w:rPr>
          <w:b/>
          <w:i/>
        </w:rPr>
      </w:pPr>
    </w:p>
    <w:p w14:paraId="5DAA2B05" w14:textId="77777777"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14:paraId="64413EDF" w14:textId="77777777" w:rsidR="00EE0233" w:rsidRDefault="00EE0233" w:rsidP="00EE0233">
      <w:pPr>
        <w:autoSpaceDE w:val="0"/>
        <w:autoSpaceDN w:val="0"/>
        <w:adjustRightInd w:val="0"/>
        <w:jc w:val="both"/>
      </w:pPr>
    </w:p>
    <w:p w14:paraId="3615EBF8"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020A65B6" w14:textId="77777777" w:rsidR="00EE0233" w:rsidRDefault="00EE0233" w:rsidP="00EE0233">
      <w:pPr>
        <w:autoSpaceDE w:val="0"/>
        <w:autoSpaceDN w:val="0"/>
        <w:adjustRightInd w:val="0"/>
        <w:jc w:val="both"/>
      </w:pPr>
    </w:p>
    <w:p w14:paraId="63EC97B6"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0684FB7D" w14:textId="77777777" w:rsidR="00EE0233" w:rsidRDefault="00EE0233" w:rsidP="00EE0233">
      <w:pPr>
        <w:autoSpaceDE w:val="0"/>
        <w:autoSpaceDN w:val="0"/>
        <w:adjustRightInd w:val="0"/>
        <w:jc w:val="both"/>
      </w:pPr>
    </w:p>
    <w:p w14:paraId="36B090C6"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2EAED5C5" w14:textId="77777777" w:rsidR="00EE0233" w:rsidRDefault="00EE0233" w:rsidP="00EE0233">
      <w:pPr>
        <w:autoSpaceDE w:val="0"/>
        <w:autoSpaceDN w:val="0"/>
        <w:adjustRightInd w:val="0"/>
        <w:jc w:val="both"/>
      </w:pPr>
    </w:p>
    <w:p w14:paraId="044BB83E"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67E7D58C" w14:textId="77777777" w:rsidR="00EE0233" w:rsidRDefault="00EE0233" w:rsidP="00EE0233">
      <w:pPr>
        <w:autoSpaceDE w:val="0"/>
        <w:autoSpaceDN w:val="0"/>
        <w:adjustRightInd w:val="0"/>
        <w:jc w:val="both"/>
      </w:pPr>
    </w:p>
    <w:p w14:paraId="43F85073"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28331788" w14:textId="77777777" w:rsidR="00EE0233" w:rsidRDefault="00EE0233" w:rsidP="00EE0233">
      <w:pPr>
        <w:autoSpaceDE w:val="0"/>
        <w:autoSpaceDN w:val="0"/>
        <w:adjustRightInd w:val="0"/>
        <w:jc w:val="both"/>
      </w:pPr>
    </w:p>
    <w:p w14:paraId="4B1A8862"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53EEF87C" w14:textId="77777777" w:rsidR="00EE0233" w:rsidRDefault="00EE0233" w:rsidP="00EE0233">
      <w:pPr>
        <w:widowControl w:val="0"/>
        <w:autoSpaceDE w:val="0"/>
        <w:autoSpaceDN w:val="0"/>
        <w:adjustRightInd w:val="0"/>
        <w:jc w:val="both"/>
      </w:pPr>
    </w:p>
    <w:p w14:paraId="11BF8192"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7ADA6D51"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28A0ADDE" w14:textId="77777777" w:rsidR="00CE5280" w:rsidRDefault="00CE5280" w:rsidP="00CE5280">
      <w:pPr>
        <w:numPr>
          <w:ilvl w:val="0"/>
          <w:numId w:val="14"/>
        </w:numPr>
        <w:ind w:left="1077"/>
        <w:contextualSpacing/>
      </w:pPr>
      <w:r w:rsidRPr="00D7164F">
        <w:rPr>
          <w:b/>
        </w:rPr>
        <w:t>Az adatbejelentés fajtája:</w:t>
      </w:r>
    </w:p>
    <w:p w14:paraId="373AF7CA" w14:textId="77777777" w:rsidR="00CE5280" w:rsidRDefault="00CE5280" w:rsidP="00CE5280">
      <w:pPr>
        <w:ind w:left="1077"/>
        <w:contextualSpacing/>
      </w:pPr>
    </w:p>
    <w:p w14:paraId="6C40C790"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0C34CE96" w14:textId="77777777" w:rsidR="00CE5280" w:rsidRDefault="00CE5280" w:rsidP="00CE5280">
      <w:pPr>
        <w:contextualSpacing/>
        <w:jc w:val="both"/>
        <w:rPr>
          <w:rFonts w:eastAsia="Arial"/>
          <w:bCs/>
        </w:rPr>
      </w:pPr>
    </w:p>
    <w:p w14:paraId="60E5F9ED"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71B1E418" w14:textId="77777777" w:rsidR="00CE5280" w:rsidRDefault="00CE5280" w:rsidP="00CE5280">
      <w:pPr>
        <w:keepNext/>
        <w:keepLines/>
        <w:widowControl w:val="0"/>
        <w:shd w:val="clear" w:color="auto" w:fill="FFFFFF"/>
        <w:jc w:val="both"/>
        <w:outlineLvl w:val="0"/>
      </w:pPr>
    </w:p>
    <w:p w14:paraId="5088553E"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193B145A" w14:textId="77777777" w:rsidR="00CE5280" w:rsidRDefault="00CE5280" w:rsidP="00CE5280">
      <w:pPr>
        <w:keepNext/>
        <w:keepLines/>
        <w:widowControl w:val="0"/>
        <w:shd w:val="clear" w:color="auto" w:fill="FFFFFF"/>
        <w:jc w:val="both"/>
        <w:outlineLvl w:val="0"/>
      </w:pPr>
    </w:p>
    <w:p w14:paraId="0A887898" w14:textId="77777777" w:rsidR="00CE5280" w:rsidRDefault="00CE5280" w:rsidP="00CE5280">
      <w:pPr>
        <w:numPr>
          <w:ilvl w:val="0"/>
          <w:numId w:val="14"/>
        </w:numPr>
        <w:spacing w:after="200" w:line="276" w:lineRule="auto"/>
        <w:contextualSpacing/>
        <w:rPr>
          <w:b/>
        </w:rPr>
      </w:pPr>
      <w:r w:rsidRPr="00864666">
        <w:rPr>
          <w:b/>
        </w:rPr>
        <w:t>Az adatbejelentő adatai</w:t>
      </w:r>
    </w:p>
    <w:p w14:paraId="30872607" w14:textId="77777777" w:rsidR="00CE5280" w:rsidRDefault="00CE5280" w:rsidP="00CE5280">
      <w:pPr>
        <w:contextualSpacing/>
        <w:rPr>
          <w:b/>
        </w:rPr>
      </w:pPr>
    </w:p>
    <w:p w14:paraId="4BCAA6F8" w14:textId="77777777" w:rsidR="00CE5280" w:rsidRDefault="00CE5280" w:rsidP="00CE5280">
      <w:pPr>
        <w:contextualSpacing/>
      </w:pPr>
      <w:r>
        <w:t>Ezt a részt értelemszerűen kell kitölteni az adatbejelentő kért személyes adataival.</w:t>
      </w:r>
    </w:p>
    <w:p w14:paraId="38745C6C" w14:textId="77777777" w:rsidR="00CE5280" w:rsidRDefault="00CE5280" w:rsidP="00CE5280">
      <w:pPr>
        <w:contextualSpacing/>
      </w:pPr>
    </w:p>
    <w:p w14:paraId="630A7D63"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24793D39" w14:textId="77777777" w:rsidR="00CE5280" w:rsidRDefault="00CE5280" w:rsidP="00CE5280">
      <w:pPr>
        <w:contextualSpacing/>
        <w:rPr>
          <w:b/>
        </w:rPr>
      </w:pPr>
    </w:p>
    <w:p w14:paraId="5A2E69A7"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4198237B" w14:textId="77777777" w:rsidR="00CE5280" w:rsidRPr="00CA4AE3" w:rsidRDefault="00CE5280" w:rsidP="00CE5280">
      <w:pPr>
        <w:contextualSpacing/>
        <w:jc w:val="both"/>
      </w:pPr>
    </w:p>
    <w:p w14:paraId="0495EA2C"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06454E37" w14:textId="77777777" w:rsidR="00CE5280" w:rsidRDefault="00CE5280" w:rsidP="00CE5280">
      <w:pPr>
        <w:rPr>
          <w:b/>
        </w:rPr>
      </w:pPr>
    </w:p>
    <w:p w14:paraId="2BD6383F"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54389F6E" w14:textId="77777777" w:rsidR="00CE5280" w:rsidRDefault="00CE5280" w:rsidP="00CE5280">
      <w:pPr>
        <w:autoSpaceDE w:val="0"/>
        <w:autoSpaceDN w:val="0"/>
        <w:adjustRightInd w:val="0"/>
        <w:jc w:val="both"/>
      </w:pPr>
    </w:p>
    <w:p w14:paraId="1B4910EF"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5D1B6FB9" w14:textId="77777777" w:rsidR="00CE5280" w:rsidRPr="001A3A36" w:rsidRDefault="00CE5280" w:rsidP="00CE5280">
      <w:pPr>
        <w:autoSpaceDE w:val="0"/>
        <w:autoSpaceDN w:val="0"/>
        <w:adjustRightInd w:val="0"/>
        <w:jc w:val="both"/>
      </w:pPr>
    </w:p>
    <w:p w14:paraId="0099F051"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2CA4FA51" w14:textId="77777777" w:rsidR="00CE5280" w:rsidRDefault="00CE5280" w:rsidP="00CE5280">
      <w:pPr>
        <w:autoSpaceDE w:val="0"/>
        <w:autoSpaceDN w:val="0"/>
        <w:adjustRightInd w:val="0"/>
        <w:jc w:val="both"/>
      </w:pPr>
    </w:p>
    <w:p w14:paraId="5023B351"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04A3111E" w14:textId="77777777" w:rsidR="00CE5280" w:rsidRPr="00564A8D" w:rsidRDefault="00CE5280" w:rsidP="00CE5280">
      <w:pPr>
        <w:jc w:val="both"/>
        <w:rPr>
          <w:b/>
        </w:rPr>
      </w:pPr>
    </w:p>
    <w:p w14:paraId="7ED4703B"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36E27A73" w14:textId="77777777" w:rsidR="00CE5280" w:rsidRPr="00EE3914" w:rsidRDefault="00CE5280" w:rsidP="00CE5280">
      <w:pPr>
        <w:contextualSpacing/>
      </w:pPr>
    </w:p>
    <w:p w14:paraId="298060BA"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3D0B75F8" w14:textId="77777777" w:rsidR="00CE5280" w:rsidRDefault="00CE5280" w:rsidP="00CE5280">
      <w:pPr>
        <w:jc w:val="both"/>
      </w:pPr>
      <w:r>
        <w:t>a telekadó-kötelezettség</w:t>
      </w:r>
    </w:p>
    <w:p w14:paraId="7BB97FFC"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166FDF09"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5CCC12BE"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1BF7DEE3"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0F2E7878"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04D04A72" w14:textId="77777777" w:rsidR="00CE5280" w:rsidRPr="00B75CEE" w:rsidRDefault="00CE5280" w:rsidP="00CE5280">
      <w:pPr>
        <w:autoSpaceDE w:val="0"/>
        <w:autoSpaceDN w:val="0"/>
        <w:adjustRightInd w:val="0"/>
        <w:ind w:firstLine="204"/>
        <w:jc w:val="both"/>
      </w:pPr>
      <w:r w:rsidRPr="00B75CEE">
        <w:t>követő év első napján</w:t>
      </w:r>
    </w:p>
    <w:p w14:paraId="45C4A964"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24A34117"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2604C814" w14:textId="77777777" w:rsidR="00CE5280" w:rsidRPr="001A3A36" w:rsidRDefault="00CE5280" w:rsidP="00CE5280">
      <w:pPr>
        <w:autoSpaceDE w:val="0"/>
        <w:autoSpaceDN w:val="0"/>
        <w:adjustRightInd w:val="0"/>
        <w:jc w:val="both"/>
      </w:pPr>
      <w:r w:rsidRPr="00B75CEE">
        <w:t>keletkezik.</w:t>
      </w:r>
    </w:p>
    <w:p w14:paraId="207C6E00" w14:textId="77777777" w:rsidR="00CE5280" w:rsidRPr="001A3A36" w:rsidRDefault="00CE5280" w:rsidP="00CE5280">
      <w:pPr>
        <w:autoSpaceDE w:val="0"/>
        <w:autoSpaceDN w:val="0"/>
        <w:adjustRightInd w:val="0"/>
        <w:jc w:val="both"/>
      </w:pPr>
    </w:p>
    <w:p w14:paraId="6094BB75"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44E85FF4" w14:textId="77777777" w:rsidR="00CE5280" w:rsidRDefault="00CE5280" w:rsidP="00CE5280">
      <w:pPr>
        <w:jc w:val="both"/>
      </w:pPr>
    </w:p>
    <w:p w14:paraId="21B5F56D"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5C950BA5" w14:textId="77777777" w:rsidR="00CE5280" w:rsidRDefault="00CE5280" w:rsidP="00CE5280">
      <w:pPr>
        <w:jc w:val="both"/>
      </w:pPr>
    </w:p>
    <w:p w14:paraId="5CECA9DB"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7E3D2C7E" w14:textId="77777777" w:rsidR="00CE5280" w:rsidRDefault="00CE5280" w:rsidP="00CE5280">
      <w:pPr>
        <w:contextualSpacing/>
        <w:rPr>
          <w:b/>
        </w:rPr>
      </w:pPr>
    </w:p>
    <w:p w14:paraId="0BE0DA3C"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4C20D808" w14:textId="77777777" w:rsidR="00CE5280" w:rsidRDefault="00CE5280" w:rsidP="00CE5280">
      <w:pPr>
        <w:jc w:val="both"/>
      </w:pPr>
    </w:p>
    <w:p w14:paraId="230C9981"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3569A13C" w14:textId="77777777" w:rsidR="00CE5280" w:rsidRDefault="00CE5280" w:rsidP="00CE5280">
      <w:pPr>
        <w:jc w:val="both"/>
      </w:pPr>
    </w:p>
    <w:p w14:paraId="305B5D8E" w14:textId="77777777" w:rsidR="00CE5280" w:rsidRDefault="00CE5280" w:rsidP="00CE5280">
      <w:pPr>
        <w:jc w:val="both"/>
      </w:pPr>
      <w:r>
        <w:t>A záró részben meg kell adni az adókötelezettségben bekövetkező változásra okot adó körülmény bekövetkeztének pontos naptári dátumát.</w:t>
      </w:r>
    </w:p>
    <w:p w14:paraId="3C20D37F" w14:textId="77777777" w:rsidR="00CE5280" w:rsidRDefault="00CE5280" w:rsidP="00CE5280">
      <w:pPr>
        <w:jc w:val="both"/>
      </w:pPr>
    </w:p>
    <w:p w14:paraId="525E90D8"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10E782EB" w14:textId="77777777" w:rsidR="00CE5280" w:rsidRDefault="00CE5280" w:rsidP="00CE5280">
      <w:pPr>
        <w:contextualSpacing/>
        <w:rPr>
          <w:b/>
        </w:rPr>
      </w:pPr>
    </w:p>
    <w:p w14:paraId="1C9619AF"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45641DC6" w14:textId="77777777" w:rsidR="00CE5280" w:rsidRPr="00317CBE" w:rsidRDefault="00CE5280" w:rsidP="00CE5280">
      <w:pPr>
        <w:autoSpaceDE w:val="0"/>
        <w:autoSpaceDN w:val="0"/>
        <w:adjustRightInd w:val="0"/>
        <w:jc w:val="both"/>
      </w:pPr>
    </w:p>
    <w:p w14:paraId="2CD70E8C"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5155CDA0"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63BE58E0"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18647CD8"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62161A6C"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050084AB"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7FEE4904"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737427CB"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4A279500"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6B8BFD62"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74849761"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1DB04AF8"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0F38C0C6" w14:textId="77777777" w:rsidR="00CE5280" w:rsidRDefault="00CE5280" w:rsidP="00CE5280">
      <w:pPr>
        <w:autoSpaceDE w:val="0"/>
        <w:autoSpaceDN w:val="0"/>
        <w:adjustRightInd w:val="0"/>
        <w:jc w:val="both"/>
      </w:pPr>
    </w:p>
    <w:p w14:paraId="0F4813A5" w14:textId="77777777" w:rsidR="00CE5280" w:rsidRDefault="00CE5280" w:rsidP="00CE5280">
      <w:pPr>
        <w:jc w:val="both"/>
      </w:pPr>
      <w:r>
        <w:t>A VI. blokk záró részében meg kell adni az adókötelezettség megszűntetésére okot adó körülmény bekövetkeztének pontos naptári dátumát.</w:t>
      </w:r>
    </w:p>
    <w:p w14:paraId="5B265EC2" w14:textId="77777777" w:rsidR="00CE5280" w:rsidRDefault="00CE5280" w:rsidP="00CE5280">
      <w:pPr>
        <w:jc w:val="both"/>
      </w:pPr>
    </w:p>
    <w:p w14:paraId="6A0E0CB2" w14:textId="77777777" w:rsidR="00EE0233" w:rsidRDefault="00EE0233" w:rsidP="00CE5280">
      <w:pPr>
        <w:jc w:val="both"/>
      </w:pPr>
    </w:p>
    <w:p w14:paraId="3809E8CC" w14:textId="77777777" w:rsidR="00EE0233" w:rsidRDefault="00EE0233" w:rsidP="00CE5280">
      <w:pPr>
        <w:jc w:val="both"/>
      </w:pPr>
    </w:p>
    <w:p w14:paraId="6F34B5AB"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542A5FF9" w14:textId="77777777" w:rsidR="00CE5280" w:rsidRDefault="00CE5280" w:rsidP="00CE5280">
      <w:pPr>
        <w:jc w:val="both"/>
      </w:pPr>
    </w:p>
    <w:p w14:paraId="78B0C139" w14:textId="77777777" w:rsidR="00CE5280" w:rsidRDefault="00CE5280" w:rsidP="00CE5280">
      <w:pPr>
        <w:contextualSpacing/>
      </w:pPr>
      <w:r>
        <w:t>Itt fel kell tü</w:t>
      </w:r>
      <w:r w:rsidRPr="003064B5">
        <w:t>ntetni az adótárgy pontos címét, helyrajzi számát.</w:t>
      </w:r>
    </w:p>
    <w:p w14:paraId="2FF1ABE2" w14:textId="77777777" w:rsidR="00CE5280" w:rsidRPr="009E0A6C" w:rsidRDefault="00CE5280" w:rsidP="00CE5280">
      <w:pPr>
        <w:jc w:val="both"/>
        <w:rPr>
          <w:b/>
        </w:rPr>
      </w:pPr>
    </w:p>
    <w:p w14:paraId="655BC076"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0BF35406" w14:textId="77777777" w:rsidR="00CE5280" w:rsidRDefault="00CE5280" w:rsidP="00CE5280">
      <w:pPr>
        <w:jc w:val="both"/>
        <w:rPr>
          <w:b/>
        </w:rPr>
      </w:pPr>
    </w:p>
    <w:p w14:paraId="10EB25E7" w14:textId="77777777" w:rsidR="00CE5280" w:rsidRPr="009E0A6C" w:rsidRDefault="00CE5280" w:rsidP="00CE5280">
      <w:pPr>
        <w:jc w:val="both"/>
      </w:pPr>
      <w:r>
        <w:t>Ebben a rovatban kell megjelölni, hogy milyen adótárgyról van szó és hány darabra vonatkozóan történik a bevallás.</w:t>
      </w:r>
    </w:p>
    <w:p w14:paraId="2819B97B" w14:textId="77777777" w:rsidR="00CE5280" w:rsidRDefault="00CE5280" w:rsidP="00CE5280">
      <w:pPr>
        <w:contextualSpacing/>
        <w:jc w:val="both"/>
      </w:pPr>
    </w:p>
    <w:p w14:paraId="7DED5DC0"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16328630" w14:textId="77777777" w:rsidR="00CE5280" w:rsidRDefault="00CE5280" w:rsidP="00CE5280">
      <w:pPr>
        <w:contextualSpacing/>
        <w:jc w:val="both"/>
      </w:pPr>
    </w:p>
    <w:p w14:paraId="2B52A798"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1CF448FD" w14:textId="77777777" w:rsidR="00CE5280" w:rsidRDefault="00CE5280" w:rsidP="00CE5280">
      <w:pPr>
        <w:autoSpaceDE w:val="0"/>
        <w:autoSpaceDN w:val="0"/>
        <w:adjustRightInd w:val="0"/>
        <w:jc w:val="both"/>
      </w:pPr>
    </w:p>
    <w:p w14:paraId="62A0D26C"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4EB56222" w14:textId="77777777" w:rsidR="00CE5280" w:rsidRPr="00A04B10" w:rsidRDefault="00CE5280" w:rsidP="00CE5280">
      <w:pPr>
        <w:contextualSpacing/>
        <w:jc w:val="both"/>
      </w:pPr>
    </w:p>
    <w:p w14:paraId="1F829795"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6FFDF1D0"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7C32ABB9" w14:textId="77777777" w:rsidR="00CE5280" w:rsidRDefault="00CE5280" w:rsidP="00CE5280">
      <w:pPr>
        <w:contextualSpacing/>
        <w:jc w:val="both"/>
      </w:pPr>
    </w:p>
    <w:p w14:paraId="3EF2DF74"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067339BD" w14:textId="77777777" w:rsidR="00CE5280" w:rsidRPr="00D02DA4" w:rsidRDefault="00CE5280" w:rsidP="00CE5280">
      <w:pPr>
        <w:pStyle w:val="Listaszerbekezds"/>
        <w:jc w:val="both"/>
      </w:pPr>
    </w:p>
    <w:p w14:paraId="0D7ABDE9"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38D45A9A" w14:textId="77777777" w:rsidR="00CE5280" w:rsidRPr="00DD37C7" w:rsidRDefault="00CE5280" w:rsidP="00CE5280">
      <w:pPr>
        <w:contextualSpacing/>
        <w:jc w:val="both"/>
      </w:pPr>
    </w:p>
    <w:p w14:paraId="45A4A04F"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57A6D2C9" w14:textId="77777777" w:rsidR="00CE5280" w:rsidRDefault="00CE5280" w:rsidP="00CE5280">
      <w:pPr>
        <w:contextualSpacing/>
        <w:rPr>
          <w:b/>
        </w:rPr>
      </w:pPr>
    </w:p>
    <w:p w14:paraId="35F14BED"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04FA93F3" w14:textId="77777777" w:rsidR="00CE5280" w:rsidRDefault="00CE5280" w:rsidP="00CE5280">
      <w:pPr>
        <w:contextualSpacing/>
        <w:jc w:val="both"/>
      </w:pPr>
    </w:p>
    <w:p w14:paraId="1C0A8462"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5A85526E" w14:textId="77777777" w:rsidR="00EE0233" w:rsidRDefault="00EE0233" w:rsidP="00EE0233">
      <w:pPr>
        <w:spacing w:after="200" w:line="276" w:lineRule="auto"/>
        <w:contextualSpacing/>
      </w:pPr>
    </w:p>
    <w:p w14:paraId="47B833F5" w14:textId="77777777" w:rsidR="00CE5280" w:rsidRPr="00C75732" w:rsidRDefault="00CE5280" w:rsidP="00EE0233">
      <w:pPr>
        <w:spacing w:after="200" w:line="276" w:lineRule="auto"/>
        <w:contextualSpacing/>
      </w:pPr>
      <w:r>
        <w:t>Ez a blokk értelemszerűen töltendő ki.</w:t>
      </w:r>
    </w:p>
    <w:p w14:paraId="00AE0A5C" w14:textId="77777777" w:rsidR="00CE5280" w:rsidRPr="00E50F0C" w:rsidRDefault="00CE5280" w:rsidP="00CE5280">
      <w:pPr>
        <w:jc w:val="both"/>
      </w:pPr>
    </w:p>
    <w:p w14:paraId="2FD0226C" w14:textId="77777777" w:rsidR="00CE5280" w:rsidRPr="00AC2036" w:rsidRDefault="00CE5280" w:rsidP="00CE5280">
      <w:pPr>
        <w:contextualSpacing/>
        <w:jc w:val="both"/>
      </w:pPr>
    </w:p>
    <w:p w14:paraId="5EC54926" w14:textId="77777777" w:rsidR="00CE5280" w:rsidRDefault="00CE5280" w:rsidP="00CE5280">
      <w:pPr>
        <w:contextualSpacing/>
        <w:jc w:val="both"/>
      </w:pPr>
    </w:p>
    <w:p w14:paraId="519419D2" w14:textId="77777777" w:rsidR="00CE5280" w:rsidRDefault="00CE5280" w:rsidP="00CE5280">
      <w:pPr>
        <w:contextualSpacing/>
        <w:jc w:val="both"/>
      </w:pPr>
    </w:p>
    <w:p w14:paraId="39AF7BBC" w14:textId="77777777" w:rsidR="00CE5280" w:rsidRDefault="00CE5280" w:rsidP="00CE5280">
      <w:pPr>
        <w:contextualSpacing/>
        <w:jc w:val="both"/>
      </w:pPr>
    </w:p>
    <w:p w14:paraId="1C2AAB19" w14:textId="77777777" w:rsidR="00CE5280" w:rsidRPr="00AD0924" w:rsidRDefault="00CE5280" w:rsidP="00CE5280">
      <w:pPr>
        <w:contextualSpacing/>
        <w:jc w:val="both"/>
      </w:pPr>
    </w:p>
    <w:p w14:paraId="2BF2A2B8" w14:textId="77777777" w:rsidR="00CE5280" w:rsidRPr="00D7164F" w:rsidRDefault="00CE5280" w:rsidP="00CE5280">
      <w:pPr>
        <w:keepNext/>
        <w:keepLines/>
        <w:widowControl w:val="0"/>
        <w:shd w:val="clear" w:color="auto" w:fill="FFFFFF"/>
        <w:spacing w:before="200"/>
        <w:jc w:val="both"/>
        <w:outlineLvl w:val="0"/>
      </w:pPr>
    </w:p>
    <w:p w14:paraId="16592F02" w14:textId="77777777" w:rsidR="00CE5280" w:rsidRPr="00D7164F" w:rsidRDefault="00CE5280" w:rsidP="00CE5280">
      <w:pPr>
        <w:autoSpaceDE w:val="0"/>
        <w:autoSpaceDN w:val="0"/>
        <w:adjustRightInd w:val="0"/>
        <w:jc w:val="both"/>
      </w:pPr>
    </w:p>
    <w:p w14:paraId="766D221C"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53C289D3" w14:textId="77777777" w:rsidR="00CE5280" w:rsidRPr="00595C05" w:rsidRDefault="00CE5280" w:rsidP="00CE5280">
      <w:pPr>
        <w:autoSpaceDE w:val="0"/>
        <w:autoSpaceDN w:val="0"/>
        <w:adjustRightInd w:val="0"/>
        <w:jc w:val="both"/>
      </w:pPr>
    </w:p>
    <w:p w14:paraId="692E5504" w14:textId="77777777" w:rsidR="00CE5280" w:rsidRPr="00595C05" w:rsidRDefault="00CE5280" w:rsidP="00CE5280">
      <w:pPr>
        <w:autoSpaceDE w:val="0"/>
        <w:autoSpaceDN w:val="0"/>
        <w:adjustRightInd w:val="0"/>
        <w:jc w:val="both"/>
      </w:pPr>
    </w:p>
    <w:p w14:paraId="318073D7" w14:textId="77777777" w:rsidR="00CE5280" w:rsidRPr="00595C05" w:rsidRDefault="00CE5280" w:rsidP="00CE5280">
      <w:pPr>
        <w:autoSpaceDE w:val="0"/>
        <w:autoSpaceDN w:val="0"/>
        <w:adjustRightInd w:val="0"/>
        <w:jc w:val="both"/>
      </w:pPr>
    </w:p>
    <w:p w14:paraId="27E8BC79" w14:textId="77777777" w:rsidR="00CE5280" w:rsidRDefault="00CE5280" w:rsidP="00CE5280"/>
    <w:p w14:paraId="26933EBB"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8058CD"/>
    <w:rsid w:val="008C17E1"/>
    <w:rsid w:val="00937B35"/>
    <w:rsid w:val="00992445"/>
    <w:rsid w:val="00B53C21"/>
    <w:rsid w:val="00B63E17"/>
    <w:rsid w:val="00BA1AE2"/>
    <w:rsid w:val="00BF3B47"/>
    <w:rsid w:val="00CC7D51"/>
    <w:rsid w:val="00CD5E6C"/>
    <w:rsid w:val="00CE5280"/>
    <w:rsid w:val="00D2454A"/>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7B46"/>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2021-01-04T12:18:00Z</cp:lastPrinted>
  <dcterms:created xsi:type="dcterms:W3CDTF">2021-01-06T10:30:00Z</dcterms:created>
  <dcterms:modified xsi:type="dcterms:W3CDTF">2021-01-06T10:30:00Z</dcterms:modified>
</cp:coreProperties>
</file>